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rFonts w:ascii="宋体" w:hAnsi="宋体" w:cs="宋体"/>
          <w:b/>
          <w:bCs/>
          <w:sz w:val="32"/>
          <w:szCs w:val="32"/>
        </w:rPr>
      </w:pPr>
      <w:r>
        <w:rPr>
          <w:rFonts w:hint="eastAsia" w:ascii="宋体" w:hAnsi="宋体" w:cs="宋体"/>
          <w:b/>
          <w:bCs/>
          <w:sz w:val="32"/>
          <w:szCs w:val="32"/>
          <w:lang w:val="en-US" w:eastAsia="zh-CN"/>
        </w:rPr>
        <w:t>福建佳塑环保材料有限公司扩建项目</w:t>
      </w:r>
      <w:r>
        <w:rPr>
          <w:rFonts w:hint="eastAsia" w:ascii="宋体" w:hAnsi="宋体" w:eastAsia="宋体" w:cs="宋体"/>
          <w:b/>
          <w:bCs/>
          <w:sz w:val="32"/>
          <w:szCs w:val="32"/>
          <w:lang w:eastAsia="zh-CN"/>
        </w:rPr>
        <w:t>竣</w:t>
      </w:r>
      <w:r>
        <w:rPr>
          <w:rFonts w:hint="eastAsia" w:ascii="宋体" w:hAnsi="宋体" w:cs="宋体"/>
          <w:b/>
          <w:bCs/>
          <w:sz w:val="32"/>
          <w:szCs w:val="32"/>
          <w:lang w:eastAsia="zh-CN"/>
        </w:rPr>
        <w:t>工</w:t>
      </w:r>
      <w:r>
        <w:rPr>
          <w:rFonts w:hint="eastAsia" w:ascii="宋体" w:hAnsi="宋体" w:cs="宋体"/>
          <w:b/>
          <w:bCs/>
          <w:sz w:val="32"/>
          <w:szCs w:val="32"/>
        </w:rPr>
        <w:t>环境保护验收意见</w:t>
      </w:r>
    </w:p>
    <w:p>
      <w:pPr>
        <w:spacing w:line="360" w:lineRule="auto"/>
        <w:ind w:firstLine="480" w:firstLineChars="200"/>
        <w:jc w:val="left"/>
        <w:rPr>
          <w:rFonts w:ascii="Times New Roman" w:hAnsi="Times New Roman"/>
          <w:sz w:val="24"/>
        </w:rPr>
      </w:pPr>
      <w:r>
        <w:rPr>
          <w:rFonts w:ascii="Times New Roman" w:hAnsi="Times New Roman"/>
          <w:color w:val="auto"/>
          <w:sz w:val="24"/>
        </w:rPr>
        <w:t>20</w:t>
      </w:r>
      <w:r>
        <w:rPr>
          <w:rFonts w:hint="eastAsia" w:ascii="Times New Roman" w:hAnsi="Times New Roman"/>
          <w:color w:val="auto"/>
          <w:sz w:val="24"/>
        </w:rPr>
        <w:t>2</w:t>
      </w:r>
      <w:r>
        <w:rPr>
          <w:rFonts w:hint="eastAsia" w:ascii="Times New Roman" w:hAnsi="Times New Roman"/>
          <w:color w:val="auto"/>
          <w:sz w:val="24"/>
          <w:lang w:val="en-US" w:eastAsia="zh-CN"/>
        </w:rPr>
        <w:t>3</w:t>
      </w:r>
      <w:r>
        <w:rPr>
          <w:rFonts w:ascii="Times New Roman" w:hAnsi="Times New Roman"/>
          <w:color w:val="auto"/>
          <w:sz w:val="24"/>
        </w:rPr>
        <w:t>年</w:t>
      </w:r>
      <w:r>
        <w:rPr>
          <w:rFonts w:hint="eastAsia" w:ascii="Times New Roman" w:hAnsi="Times New Roman"/>
          <w:color w:val="auto"/>
          <w:sz w:val="24"/>
          <w:lang w:val="en-US" w:eastAsia="zh-CN"/>
        </w:rPr>
        <w:t>2</w:t>
      </w:r>
      <w:r>
        <w:rPr>
          <w:rFonts w:ascii="Times New Roman" w:hAnsi="Times New Roman"/>
          <w:color w:val="auto"/>
          <w:sz w:val="24"/>
        </w:rPr>
        <w:t>月</w:t>
      </w:r>
      <w:r>
        <w:rPr>
          <w:rFonts w:hint="eastAsia" w:ascii="Times New Roman" w:hAnsi="Times New Roman"/>
          <w:color w:val="auto"/>
          <w:sz w:val="24"/>
          <w:lang w:val="en-US" w:eastAsia="zh-CN"/>
        </w:rPr>
        <w:t>21</w:t>
      </w:r>
      <w:r>
        <w:rPr>
          <w:rFonts w:ascii="Times New Roman" w:hAnsi="Times New Roman"/>
          <w:color w:val="auto"/>
          <w:sz w:val="24"/>
        </w:rPr>
        <w:t>日，</w:t>
      </w:r>
      <w:r>
        <w:rPr>
          <w:rFonts w:hint="eastAsia" w:ascii="Times New Roman" w:hAnsi="Times New Roman"/>
          <w:color w:val="auto"/>
          <w:sz w:val="24"/>
          <w:lang w:eastAsia="zh-CN"/>
        </w:rPr>
        <w:t>福建佳塑环保材料有限公司</w:t>
      </w:r>
      <w:r>
        <w:rPr>
          <w:rFonts w:ascii="Times New Roman" w:hAnsi="Times New Roman"/>
          <w:sz w:val="24"/>
        </w:rPr>
        <w:t>主持召开了《</w:t>
      </w:r>
      <w:r>
        <w:rPr>
          <w:rFonts w:hint="eastAsia" w:ascii="Times New Roman" w:hAnsi="Times New Roman"/>
          <w:sz w:val="24"/>
          <w:lang w:eastAsia="zh-CN"/>
        </w:rPr>
        <w:t>福建佳塑环保材料有限公司扩建项目</w:t>
      </w:r>
      <w:r>
        <w:rPr>
          <w:rFonts w:ascii="Times New Roman" w:hAnsi="Times New Roman"/>
          <w:sz w:val="24"/>
        </w:rPr>
        <w:t>》</w:t>
      </w:r>
      <w:r>
        <w:rPr>
          <w:rFonts w:hint="eastAsia" w:ascii="Times New Roman" w:hAnsi="Times New Roman"/>
          <w:sz w:val="24"/>
          <w:lang w:eastAsia="zh-CN"/>
        </w:rPr>
        <w:t>竣工</w:t>
      </w:r>
      <w:r>
        <w:rPr>
          <w:rFonts w:ascii="Times New Roman" w:hAnsi="Times New Roman"/>
          <w:sz w:val="24"/>
        </w:rPr>
        <w:t>环境保护验收会，会议组成了验收组（成员名单附后）。验收组根据《</w:t>
      </w:r>
      <w:r>
        <w:rPr>
          <w:rFonts w:hint="eastAsia" w:ascii="Times New Roman" w:hAnsi="Times New Roman" w:cs="Times New Roman"/>
          <w:sz w:val="24"/>
          <w:lang w:eastAsia="zh-CN"/>
        </w:rPr>
        <w:t>福建佳塑环保材料有限公司扩建项目</w:t>
      </w:r>
      <w:r>
        <w:rPr>
          <w:rFonts w:hint="eastAsia" w:ascii="Times New Roman" w:hAnsi="Times New Roman"/>
          <w:color w:val="auto"/>
          <w:sz w:val="24"/>
          <w:lang w:eastAsia="zh-CN"/>
        </w:rPr>
        <w:t>环保</w:t>
      </w:r>
      <w:r>
        <w:rPr>
          <w:rFonts w:hint="eastAsia" w:ascii="Times New Roman" w:hAnsi="Times New Roman"/>
          <w:color w:val="auto"/>
          <w:sz w:val="24"/>
          <w:lang w:val="en-US" w:eastAsia="zh-CN"/>
        </w:rPr>
        <w:t>环境影响报告表</w:t>
      </w:r>
      <w:r>
        <w:rPr>
          <w:rFonts w:ascii="Times New Roman" w:hAnsi="Times New Roman"/>
          <w:sz w:val="24"/>
        </w:rPr>
        <w:t>》</w:t>
      </w:r>
      <w:r>
        <w:rPr>
          <w:rFonts w:ascii="Times New Roman" w:hAnsi="Times New Roman" w:eastAsia="宋体" w:cs="Times New Roman"/>
          <w:sz w:val="24"/>
        </w:rPr>
        <w:t>并对照《建设项目</w:t>
      </w:r>
      <w:r>
        <w:rPr>
          <w:rFonts w:hint="eastAsia" w:ascii="Times New Roman" w:hAnsi="Times New Roman" w:eastAsia="宋体" w:cs="Times New Roman"/>
          <w:sz w:val="24"/>
          <w:lang w:eastAsia="zh-CN"/>
        </w:rPr>
        <w:t>竣工</w:t>
      </w:r>
      <w:r>
        <w:rPr>
          <w:rFonts w:ascii="Times New Roman" w:hAnsi="Times New Roman" w:eastAsia="宋体" w:cs="Times New Roman"/>
          <w:sz w:val="24"/>
        </w:rPr>
        <w:t>环境保</w:t>
      </w:r>
      <w:r>
        <w:rPr>
          <w:rFonts w:ascii="Times New Roman" w:hAnsi="Times New Roman"/>
          <w:sz w:val="24"/>
        </w:rPr>
        <w:t>护验收暂行办法》（国环规环评[2017]4号），严格依照国家有关法律法规、建设项目</w:t>
      </w:r>
      <w:r>
        <w:rPr>
          <w:rFonts w:hint="eastAsia" w:ascii="Times New Roman" w:hAnsi="Times New Roman"/>
          <w:sz w:val="24"/>
          <w:lang w:eastAsia="zh-CN"/>
        </w:rPr>
        <w:t>竣工</w:t>
      </w:r>
      <w:r>
        <w:rPr>
          <w:rFonts w:ascii="Times New Roman" w:hAnsi="Times New Roman"/>
          <w:sz w:val="24"/>
        </w:rPr>
        <w:t>环境保护验收技术指南、项目环境影响报告表和审批部门审批决定等要求对本项目进行验收。验收组进行了现场检查，听取了建设单位关于项目建设情况的介绍和报告表编制单位对验收监测情况的介绍，审阅有关材料，经认真审议，提出意见如下：</w:t>
      </w:r>
    </w:p>
    <w:p>
      <w:pPr>
        <w:spacing w:line="360" w:lineRule="auto"/>
        <w:ind w:firstLine="482" w:firstLineChars="200"/>
        <w:rPr>
          <w:rFonts w:ascii="Times New Roman" w:hAnsi="Times New Roman"/>
          <w:b/>
          <w:bCs/>
          <w:sz w:val="24"/>
        </w:rPr>
      </w:pPr>
      <w:r>
        <w:rPr>
          <w:rFonts w:ascii="Times New Roman" w:hAnsi="Times New Roman"/>
          <w:b/>
          <w:bCs/>
          <w:sz w:val="24"/>
        </w:rPr>
        <w:t>一、工程建设基本情况</w:t>
      </w:r>
    </w:p>
    <w:p>
      <w:pPr>
        <w:spacing w:line="360" w:lineRule="auto"/>
        <w:ind w:firstLine="480" w:firstLineChars="200"/>
        <w:jc w:val="left"/>
        <w:rPr>
          <w:rFonts w:ascii="Times New Roman" w:hAnsi="Times New Roman"/>
          <w:color w:val="auto"/>
          <w:sz w:val="24"/>
        </w:rPr>
      </w:pPr>
      <w:r>
        <w:rPr>
          <w:rFonts w:ascii="Times New Roman" w:hAnsi="Times New Roman"/>
          <w:color w:val="auto"/>
          <w:sz w:val="24"/>
        </w:rPr>
        <w:t>（一）建设地点、规模、主要建设内容</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福建佳塑环保材料有限公司</w:t>
      </w:r>
      <w:r>
        <w:rPr>
          <w:rFonts w:hint="default" w:ascii="Times New Roman" w:hAnsi="Times New Roman" w:eastAsia="宋体" w:cs="Times New Roman"/>
          <w:color w:val="000000"/>
          <w:sz w:val="24"/>
          <w:lang w:val="en-US" w:eastAsia="zh-CN" w:bidi="zh-CN"/>
        </w:rPr>
        <w:t>厂址位于</w:t>
      </w:r>
      <w:r>
        <w:rPr>
          <w:rFonts w:hint="eastAsia" w:ascii="Times New Roman" w:hAnsi="Times New Roman" w:eastAsia="宋体" w:cs="Times New Roman"/>
          <w:color w:val="000000"/>
          <w:sz w:val="24"/>
          <w:lang w:val="en-US" w:eastAsia="zh-CN" w:bidi="zh-CN"/>
        </w:rPr>
        <w:t>福建省福州市马尾区罗星街道罗星东路2号</w:t>
      </w:r>
      <w:r>
        <w:rPr>
          <w:rFonts w:hint="default" w:ascii="Times New Roman" w:hAnsi="Times New Roman" w:eastAsia="宋体" w:cs="Times New Roman"/>
          <w:color w:val="000000"/>
          <w:sz w:val="24"/>
          <w:lang w:val="en-US" w:eastAsia="zh-CN" w:bidi="zh-CN"/>
        </w:rPr>
        <w:t>，厂区</w:t>
      </w:r>
      <w:r>
        <w:rPr>
          <w:rFonts w:hint="eastAsia" w:ascii="Times New Roman" w:hAnsi="Times New Roman" w:eastAsia="宋体" w:cs="Times New Roman"/>
          <w:color w:val="000000"/>
          <w:sz w:val="24"/>
          <w:lang w:val="en-US" w:eastAsia="zh-CN" w:bidi="zh-CN"/>
        </w:rPr>
        <w:t>占地面积4025m2</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本次扩建利用</w:t>
      </w:r>
      <w:r>
        <w:rPr>
          <w:rFonts w:hint="default" w:ascii="Times New Roman" w:hAnsi="Times New Roman" w:eastAsia="宋体" w:cs="Times New Roman"/>
          <w:color w:val="000000"/>
          <w:sz w:val="24"/>
          <w:lang w:val="en-US" w:eastAsia="zh-CN" w:bidi="zh-CN"/>
        </w:rPr>
        <w:t>厂区内现有的厂房进行扩建，</w:t>
      </w:r>
      <w:r>
        <w:rPr>
          <w:rFonts w:hint="eastAsia" w:ascii="Times New Roman" w:hAnsi="Times New Roman" w:eastAsia="宋体" w:cs="Times New Roman"/>
          <w:color w:val="000000"/>
          <w:sz w:val="24"/>
          <w:lang w:val="en-US" w:eastAsia="zh-CN" w:bidi="zh-CN"/>
        </w:rPr>
        <w:t>扩建后项目占地面积不变4025m2，共计建筑面积6536.84m2。</w:t>
      </w:r>
      <w:r>
        <w:rPr>
          <w:rFonts w:hint="default" w:ascii="Times New Roman" w:hAnsi="Times New Roman" w:eastAsia="宋体" w:cs="Times New Roman"/>
          <w:color w:val="000000"/>
          <w:sz w:val="24"/>
          <w:lang w:val="en-US" w:eastAsia="zh-CN" w:bidi="zh-CN"/>
        </w:rPr>
        <w:t>扩建</w:t>
      </w:r>
      <w:r>
        <w:rPr>
          <w:rFonts w:hint="eastAsia" w:ascii="Times New Roman" w:hAnsi="Times New Roman" w:eastAsia="宋体" w:cs="Times New Roman"/>
          <w:color w:val="000000"/>
          <w:sz w:val="24"/>
          <w:lang w:val="en-US" w:eastAsia="zh-CN" w:bidi="zh-CN"/>
        </w:rPr>
        <w:t>内容：新增一条淀粉基生物分解树脂生产线、1条生物分解树脂袋生产线。购进1台可降解塑料粒子合成机、1台进料机、1台吹塑机、1台印刷机、2台裁边机，新增产能：1060吨淀粉基生物分解树脂及150吨淀粉基生物分解树脂袋。增新员工人数10人，均不在厂内食宿，工作制度：三班制，每班8小时，年工作300天。</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目前，项目主体工程及配套的环保设施已安装完毕并投入运行，项目在建设期及运营期未受到投诉及处罚，具备验收的条件。</w:t>
      </w:r>
    </w:p>
    <w:p>
      <w:pPr>
        <w:spacing w:line="360" w:lineRule="auto"/>
        <w:ind w:firstLine="480" w:firstLineChars="200"/>
        <w:rPr>
          <w:rFonts w:ascii="Times New Roman" w:hAnsi="Times New Roman"/>
          <w:sz w:val="24"/>
        </w:rPr>
      </w:pPr>
      <w:r>
        <w:rPr>
          <w:rFonts w:ascii="Times New Roman" w:hAnsi="Times New Roman"/>
          <w:sz w:val="24"/>
        </w:rPr>
        <w:t>（二）建设过程及环保审批情况</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default" w:ascii="Times New Roman" w:hAnsi="Times New Roman" w:eastAsia="宋体" w:cs="Times New Roman"/>
          <w:color w:val="000000"/>
          <w:sz w:val="24"/>
          <w:lang w:val="en-US" w:eastAsia="zh-CN" w:bidi="zh-CN"/>
        </w:rPr>
        <w:t>20</w:t>
      </w:r>
      <w:r>
        <w:rPr>
          <w:rFonts w:hint="eastAsia" w:ascii="Times New Roman" w:hAnsi="Times New Roman" w:eastAsia="宋体" w:cs="Times New Roman"/>
          <w:color w:val="000000"/>
          <w:sz w:val="24"/>
          <w:lang w:val="en-US" w:eastAsia="zh-CN" w:bidi="zh-CN"/>
        </w:rPr>
        <w:t>19</w:t>
      </w:r>
      <w:r>
        <w:rPr>
          <w:rFonts w:hint="default" w:ascii="Times New Roman" w:hAnsi="Times New Roman" w:eastAsia="宋体" w:cs="Times New Roman"/>
          <w:color w:val="000000"/>
          <w:sz w:val="24"/>
          <w:lang w:val="en-US" w:eastAsia="zh-CN" w:bidi="zh-CN"/>
        </w:rPr>
        <w:t>年11月，公司委托</w:t>
      </w:r>
      <w:r>
        <w:rPr>
          <w:rFonts w:hint="eastAsia" w:ascii="Times New Roman" w:hAnsi="Times New Roman" w:eastAsia="宋体" w:cs="Times New Roman"/>
          <w:color w:val="000000"/>
          <w:sz w:val="24"/>
          <w:lang w:val="en-US" w:eastAsia="zh-CN" w:bidi="zh-CN"/>
        </w:rPr>
        <w:t>福建新时代环保科技有限公司</w:t>
      </w:r>
      <w:r>
        <w:rPr>
          <w:rFonts w:hint="default" w:ascii="Times New Roman" w:hAnsi="Times New Roman" w:eastAsia="宋体" w:cs="Times New Roman"/>
          <w:color w:val="000000"/>
          <w:sz w:val="24"/>
          <w:lang w:val="en-US" w:eastAsia="zh-CN" w:bidi="zh-CN"/>
        </w:rPr>
        <w:t>编制了《</w:t>
      </w:r>
      <w:r>
        <w:rPr>
          <w:rFonts w:hint="eastAsia" w:ascii="Times New Roman" w:hAnsi="Times New Roman" w:eastAsia="宋体" w:cs="Times New Roman"/>
          <w:color w:val="000000"/>
          <w:sz w:val="24"/>
          <w:lang w:val="en-US" w:eastAsia="zh-CN" w:bidi="zh-CN"/>
        </w:rPr>
        <w:t>年产200吨淀粉基生物分解树脂包装材料及700吨淀粉基生物分解树脂袋项目</w:t>
      </w:r>
      <w:r>
        <w:rPr>
          <w:rFonts w:hint="default" w:ascii="Times New Roman" w:hAnsi="Times New Roman" w:eastAsia="宋体" w:cs="Times New Roman"/>
          <w:color w:val="000000"/>
          <w:sz w:val="24"/>
          <w:lang w:val="en-US" w:eastAsia="zh-CN" w:bidi="zh-CN"/>
        </w:rPr>
        <w:t>》，于20</w:t>
      </w:r>
      <w:r>
        <w:rPr>
          <w:rFonts w:hint="eastAsia" w:ascii="Times New Roman" w:hAnsi="Times New Roman" w:eastAsia="宋体" w:cs="Times New Roman"/>
          <w:color w:val="000000"/>
          <w:sz w:val="24"/>
          <w:lang w:val="en-US" w:eastAsia="zh-CN" w:bidi="zh-CN"/>
        </w:rPr>
        <w:t>20</w:t>
      </w:r>
      <w:r>
        <w:rPr>
          <w:rFonts w:hint="default" w:ascii="Times New Roman" w:hAnsi="Times New Roman" w:eastAsia="宋体" w:cs="Times New Roman"/>
          <w:color w:val="000000"/>
          <w:sz w:val="24"/>
          <w:lang w:val="en-US" w:eastAsia="zh-CN" w:bidi="zh-CN"/>
        </w:rPr>
        <w:t>年</w:t>
      </w:r>
      <w:r>
        <w:rPr>
          <w:rFonts w:hint="eastAsia" w:ascii="Times New Roman" w:hAnsi="Times New Roman" w:eastAsia="宋体" w:cs="Times New Roman"/>
          <w:color w:val="000000"/>
          <w:sz w:val="24"/>
          <w:lang w:val="en-US" w:eastAsia="zh-CN" w:bidi="zh-CN"/>
        </w:rPr>
        <w:t>1</w:t>
      </w:r>
      <w:r>
        <w:rPr>
          <w:rFonts w:hint="default" w:ascii="Times New Roman" w:hAnsi="Times New Roman" w:eastAsia="宋体" w:cs="Times New Roman"/>
          <w:color w:val="000000"/>
          <w:sz w:val="24"/>
          <w:lang w:val="en-US" w:eastAsia="zh-CN" w:bidi="zh-CN"/>
        </w:rPr>
        <w:t>月</w:t>
      </w:r>
      <w:r>
        <w:rPr>
          <w:rFonts w:hint="eastAsia" w:ascii="Times New Roman" w:hAnsi="Times New Roman" w:eastAsia="宋体" w:cs="Times New Roman"/>
          <w:color w:val="000000"/>
          <w:sz w:val="24"/>
          <w:lang w:val="en-US" w:eastAsia="zh-CN" w:bidi="zh-CN"/>
        </w:rPr>
        <w:t>9</w:t>
      </w:r>
      <w:r>
        <w:rPr>
          <w:rFonts w:hint="default" w:ascii="Times New Roman" w:hAnsi="Times New Roman" w:eastAsia="宋体" w:cs="Times New Roman"/>
          <w:color w:val="000000"/>
          <w:sz w:val="24"/>
          <w:lang w:val="en-US" w:eastAsia="zh-CN" w:bidi="zh-CN"/>
        </w:rPr>
        <w:t>日取得</w:t>
      </w:r>
      <w:r>
        <w:rPr>
          <w:rFonts w:hint="eastAsia" w:ascii="Times New Roman" w:hAnsi="Times New Roman" w:eastAsia="宋体" w:cs="Times New Roman"/>
          <w:color w:val="000000"/>
          <w:sz w:val="24"/>
          <w:lang w:val="en-US" w:eastAsia="zh-CN" w:bidi="zh-CN"/>
        </w:rPr>
        <w:t>福州市马尾生态环境局</w:t>
      </w:r>
      <w:r>
        <w:rPr>
          <w:rFonts w:hint="default" w:ascii="Times New Roman" w:hAnsi="Times New Roman" w:eastAsia="宋体" w:cs="Times New Roman"/>
          <w:color w:val="000000"/>
          <w:sz w:val="24"/>
          <w:lang w:val="en-US" w:eastAsia="zh-CN" w:bidi="zh-CN"/>
        </w:rPr>
        <w:t>的批复</w:t>
      </w:r>
      <w:r>
        <w:rPr>
          <w:rFonts w:hint="eastAsia" w:ascii="Times New Roman" w:hAnsi="Times New Roman" w:eastAsia="宋体" w:cs="Times New Roman"/>
          <w:color w:val="000000"/>
          <w:sz w:val="24"/>
          <w:lang w:val="en-US" w:eastAsia="zh-CN" w:bidi="zh-CN"/>
        </w:rPr>
        <w:t>，</w:t>
      </w:r>
      <w:r>
        <w:rPr>
          <w:rFonts w:hint="default" w:ascii="Times New Roman" w:hAnsi="Times New Roman" w:eastAsia="宋体" w:cs="Times New Roman"/>
          <w:color w:val="000000"/>
          <w:sz w:val="24"/>
          <w:lang w:val="en-US" w:eastAsia="zh-CN" w:bidi="zh-CN"/>
        </w:rPr>
        <w:t>20</w:t>
      </w:r>
      <w:r>
        <w:rPr>
          <w:rFonts w:hint="eastAsia" w:ascii="Times New Roman" w:hAnsi="Times New Roman" w:eastAsia="宋体" w:cs="Times New Roman"/>
          <w:color w:val="000000"/>
          <w:sz w:val="24"/>
          <w:lang w:val="en-US" w:eastAsia="zh-CN" w:bidi="zh-CN"/>
        </w:rPr>
        <w:t>20</w:t>
      </w:r>
      <w:r>
        <w:rPr>
          <w:rFonts w:hint="default" w:ascii="Times New Roman" w:hAnsi="Times New Roman" w:eastAsia="宋体" w:cs="Times New Roman"/>
          <w:color w:val="000000"/>
          <w:sz w:val="24"/>
          <w:lang w:val="en-US" w:eastAsia="zh-CN" w:bidi="zh-CN"/>
        </w:rPr>
        <w:t>年</w:t>
      </w:r>
      <w:r>
        <w:rPr>
          <w:rFonts w:hint="eastAsia" w:ascii="Times New Roman" w:hAnsi="Times New Roman" w:eastAsia="宋体" w:cs="Times New Roman"/>
          <w:color w:val="000000"/>
          <w:sz w:val="24"/>
          <w:lang w:val="en-US" w:eastAsia="zh-CN" w:bidi="zh-CN"/>
        </w:rPr>
        <w:t>12月完成了</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年产200吨淀粉基生物分解树脂包装材料及700吨淀粉基生物分解树脂袋项目（阶段性）</w:t>
      </w:r>
      <w:r>
        <w:rPr>
          <w:rFonts w:hint="default" w:ascii="Times New Roman" w:hAnsi="Times New Roman" w:eastAsia="宋体" w:cs="Times New Roman"/>
          <w:color w:val="000000"/>
          <w:sz w:val="24"/>
          <w:lang w:val="en-US" w:eastAsia="zh-CN" w:bidi="zh-CN"/>
        </w:rPr>
        <w:t>》环保竣工验收</w:t>
      </w:r>
      <w:r>
        <w:rPr>
          <w:rFonts w:hint="eastAsia" w:ascii="Times New Roman" w:hAnsi="Times New Roman" w:eastAsia="宋体" w:cs="Times New Roman"/>
          <w:color w:val="000000"/>
          <w:sz w:val="24"/>
          <w:lang w:val="en-US" w:eastAsia="zh-CN" w:bidi="zh-CN"/>
        </w:rPr>
        <w:t>。现有工程现阶段无全厂验收的安排。2022年10月委托深圳市福安环境技术有限公司编制完成了《福建佳塑环保材料有限公司扩建项目》，并于2022年11月4日通过</w:t>
      </w:r>
      <w:r>
        <w:rPr>
          <w:rFonts w:hint="eastAsia" w:ascii="Times New Roman" w:hAnsi="Times New Roman" w:cs="Times New Roman"/>
          <w:color w:val="000000"/>
          <w:sz w:val="24"/>
          <w:lang w:val="en-US" w:eastAsia="zh-CN" w:bidi="zh-CN"/>
        </w:rPr>
        <w:t>福州市马尾生态环境局</w:t>
      </w:r>
      <w:r>
        <w:rPr>
          <w:rFonts w:hint="eastAsia" w:ascii="Times New Roman" w:hAnsi="Times New Roman" w:eastAsia="宋体" w:cs="Times New Roman"/>
          <w:color w:val="000000"/>
          <w:sz w:val="24"/>
          <w:lang w:val="en-US" w:eastAsia="zh-CN" w:bidi="zh-CN"/>
        </w:rPr>
        <w:t>审批（</w:t>
      </w:r>
      <w:r>
        <w:rPr>
          <w:rFonts w:hint="eastAsia" w:ascii="Times New Roman" w:hAnsi="Times New Roman" w:cs="Times New Roman"/>
          <w:color w:val="000000"/>
          <w:sz w:val="24"/>
          <w:lang w:val="en-US" w:eastAsia="zh-CN" w:bidi="zh-CN"/>
        </w:rPr>
        <w:t>榕马环评【2022】29号</w:t>
      </w:r>
      <w:r>
        <w:rPr>
          <w:rFonts w:hint="eastAsia" w:ascii="Times New Roman" w:hAnsi="Times New Roman" w:eastAsia="宋体" w:cs="Times New Roman"/>
          <w:color w:val="000000"/>
          <w:sz w:val="24"/>
          <w:lang w:val="en-US" w:eastAsia="zh-CN" w:bidi="zh-CN"/>
        </w:rPr>
        <w:t>）；</w:t>
      </w:r>
    </w:p>
    <w:p>
      <w:pPr>
        <w:spacing w:line="360" w:lineRule="auto"/>
        <w:ind w:firstLine="480" w:firstLineChars="200"/>
        <w:jc w:val="lef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zh-CN" w:eastAsia="zh-CN"/>
        </w:rPr>
        <w:t>项目于</w:t>
      </w:r>
      <w:r>
        <w:rPr>
          <w:rFonts w:hint="eastAsia" w:ascii="Times New Roman" w:hAnsi="Times New Roman" w:eastAsia="宋体" w:cs="Times New Roman"/>
          <w:sz w:val="24"/>
          <w:lang w:val="en-US" w:eastAsia="zh-CN"/>
        </w:rPr>
        <w:t>2022年</w:t>
      </w:r>
      <w:r>
        <w:rPr>
          <w:rFonts w:hint="eastAsia" w:ascii="Times New Roman" w:hAnsi="Times New Roman" w:cs="Times New Roman"/>
          <w:sz w:val="24"/>
          <w:lang w:val="en-US" w:eastAsia="zh-CN"/>
        </w:rPr>
        <w:t>12</w:t>
      </w:r>
      <w:r>
        <w:rPr>
          <w:rFonts w:hint="eastAsia" w:ascii="Times New Roman" w:hAnsi="Times New Roman" w:eastAsia="宋体" w:cs="Times New Roman"/>
          <w:sz w:val="24"/>
          <w:lang w:val="en-US" w:eastAsia="zh-CN"/>
        </w:rPr>
        <w:t>月1日开工建设，并于202</w:t>
      </w:r>
      <w:r>
        <w:rPr>
          <w:rFonts w:hint="eastAsia" w:ascii="Times New Roman" w:hAnsi="Times New Roman" w:cs="Times New Roman"/>
          <w:sz w:val="24"/>
          <w:lang w:val="en-US" w:eastAsia="zh-CN"/>
        </w:rPr>
        <w:t>2</w:t>
      </w:r>
      <w:r>
        <w:rPr>
          <w:rFonts w:hint="eastAsia" w:ascii="Times New Roman" w:hAnsi="Times New Roman" w:eastAsia="宋体" w:cs="Times New Roman"/>
          <w:sz w:val="24"/>
          <w:lang w:val="en-US" w:eastAsia="zh-CN"/>
        </w:rPr>
        <w:t>年</w:t>
      </w:r>
      <w:r>
        <w:rPr>
          <w:rFonts w:hint="eastAsia" w:ascii="Times New Roman" w:hAnsi="Times New Roman" w:cs="Times New Roman"/>
          <w:sz w:val="24"/>
          <w:lang w:val="en-US" w:eastAsia="zh-CN"/>
        </w:rPr>
        <w:t>12</w:t>
      </w:r>
      <w:r>
        <w:rPr>
          <w:rFonts w:hint="eastAsia" w:ascii="Times New Roman" w:hAnsi="Times New Roman" w:eastAsia="宋体" w:cs="Times New Roman"/>
          <w:sz w:val="24"/>
          <w:lang w:val="en-US" w:eastAsia="zh-CN"/>
        </w:rPr>
        <w:t>月1</w:t>
      </w:r>
      <w:r>
        <w:rPr>
          <w:rFonts w:hint="eastAsia" w:ascii="Times New Roman" w:hAnsi="Times New Roman" w:cs="Times New Roman"/>
          <w:sz w:val="24"/>
          <w:lang w:val="en-US" w:eastAsia="zh-CN"/>
        </w:rPr>
        <w:t>0</w:t>
      </w:r>
      <w:r>
        <w:rPr>
          <w:rFonts w:hint="eastAsia" w:ascii="Times New Roman" w:hAnsi="Times New Roman" w:eastAsia="宋体" w:cs="Times New Roman"/>
          <w:sz w:val="24"/>
          <w:lang w:val="en-US" w:eastAsia="zh-CN"/>
        </w:rPr>
        <w:t>日开始调试。建设单位于全国排污许可证管理信息平台完成排污登记（登记编号：</w:t>
      </w:r>
      <w:r>
        <w:rPr>
          <w:rFonts w:hint="eastAsia" w:ascii="Times New Roman" w:hAnsi="Times New Roman" w:eastAsia="宋体" w:cs="Times New Roman"/>
          <w:color w:val="000000"/>
          <w:sz w:val="24"/>
          <w:lang w:val="en-US" w:eastAsia="zh-CN" w:bidi="zh-CN"/>
        </w:rPr>
        <w:t>91350105MA324F7523001Z ）</w:t>
      </w:r>
    </w:p>
    <w:p>
      <w:pPr>
        <w:spacing w:line="360" w:lineRule="auto"/>
        <w:ind w:firstLine="480" w:firstLineChars="200"/>
        <w:rPr>
          <w:rFonts w:ascii="Times New Roman" w:hAnsi="Times New Roman"/>
          <w:sz w:val="24"/>
        </w:rPr>
      </w:pPr>
      <w:r>
        <w:rPr>
          <w:rFonts w:ascii="Times New Roman" w:hAnsi="Times New Roman"/>
          <w:sz w:val="24"/>
        </w:rPr>
        <w:t>（三）投资情况</w:t>
      </w:r>
    </w:p>
    <w:p>
      <w:pPr>
        <w:spacing w:line="360" w:lineRule="auto"/>
        <w:ind w:firstLine="480" w:firstLineChars="200"/>
        <w:rPr>
          <w:rFonts w:ascii="Times New Roman" w:hAnsi="Times New Roman"/>
          <w:sz w:val="24"/>
        </w:rPr>
      </w:pPr>
      <w:r>
        <w:rPr>
          <w:rFonts w:ascii="Times New Roman" w:hAnsi="Times New Roman"/>
          <w:sz w:val="24"/>
        </w:rPr>
        <w:t>项目投资</w:t>
      </w:r>
      <w:r>
        <w:rPr>
          <w:rFonts w:hint="eastAsia" w:ascii="Times New Roman" w:hAnsi="Times New Roman"/>
          <w:sz w:val="24"/>
          <w:lang w:val="en-US" w:eastAsia="zh-CN"/>
        </w:rPr>
        <w:t>80</w:t>
      </w:r>
      <w:r>
        <w:rPr>
          <w:rFonts w:ascii="Times New Roman" w:hAnsi="Times New Roman"/>
          <w:sz w:val="24"/>
        </w:rPr>
        <w:t>万元，其中环保投资</w:t>
      </w:r>
      <w:r>
        <w:rPr>
          <w:rFonts w:hint="eastAsia" w:ascii="Times New Roman" w:hAnsi="Times New Roman"/>
          <w:sz w:val="24"/>
          <w:lang w:val="en-US" w:eastAsia="zh-CN"/>
        </w:rPr>
        <w:t>5</w:t>
      </w:r>
      <w:r>
        <w:rPr>
          <w:rFonts w:ascii="Times New Roman" w:hAnsi="Times New Roman"/>
          <w:sz w:val="24"/>
        </w:rPr>
        <w:t>万元，占投资总额的</w:t>
      </w:r>
      <w:r>
        <w:rPr>
          <w:rFonts w:hint="eastAsia" w:ascii="Times New Roman" w:hAnsi="Times New Roman"/>
          <w:sz w:val="24"/>
          <w:lang w:val="en-US" w:eastAsia="zh-CN"/>
        </w:rPr>
        <w:t>6.25</w:t>
      </w:r>
      <w:r>
        <w:rPr>
          <w:rFonts w:ascii="Times New Roman" w:hAnsi="Times New Roman"/>
          <w:sz w:val="24"/>
        </w:rPr>
        <w:t>%。</w:t>
      </w:r>
    </w:p>
    <w:p>
      <w:pPr>
        <w:spacing w:line="360" w:lineRule="auto"/>
        <w:ind w:firstLine="482" w:firstLineChars="200"/>
        <w:rPr>
          <w:rFonts w:ascii="Times New Roman" w:hAnsi="Times New Roman"/>
          <w:b/>
          <w:bCs/>
          <w:sz w:val="24"/>
        </w:rPr>
      </w:pPr>
      <w:r>
        <w:rPr>
          <w:rFonts w:ascii="Times New Roman" w:hAnsi="Times New Roman"/>
          <w:b/>
          <w:bCs/>
          <w:sz w:val="24"/>
        </w:rPr>
        <w:t>二、验收范围</w:t>
      </w:r>
    </w:p>
    <w:p>
      <w:pPr>
        <w:spacing w:line="360" w:lineRule="auto"/>
        <w:ind w:firstLine="480" w:firstLineChars="200"/>
        <w:jc w:val="left"/>
        <w:rPr>
          <w:rFonts w:hint="eastAsia" w:ascii="Times New Roman" w:hAnsi="Times New Roman" w:cs="Times New Roman"/>
          <w:sz w:val="24"/>
          <w:lang w:val="zh-CN" w:eastAsia="zh-CN"/>
        </w:rPr>
      </w:pPr>
      <w:r>
        <w:rPr>
          <w:rFonts w:hint="eastAsia" w:ascii="Times New Roman" w:hAnsi="Times New Roman" w:eastAsia="宋体" w:cs="Times New Roman"/>
          <w:sz w:val="24"/>
          <w:lang w:val="en-US" w:eastAsia="zh-CN"/>
        </w:rPr>
        <w:t>位于</w:t>
      </w:r>
      <w:r>
        <w:rPr>
          <w:rFonts w:hint="eastAsia" w:ascii="Times New Roman" w:hAnsi="Times New Roman" w:cs="Times New Roman"/>
          <w:sz w:val="24"/>
          <w:lang w:val="en-US" w:eastAsia="zh-CN"/>
        </w:rPr>
        <w:t>福建省福州市马尾区罗星街道罗星东路2号福建佳塑环保材料有限公司扩建项目的主体工程、辅助工程及环保工程。</w:t>
      </w:r>
    </w:p>
    <w:p>
      <w:pPr>
        <w:spacing w:line="360" w:lineRule="auto"/>
        <w:ind w:firstLine="482" w:firstLineChars="200"/>
        <w:rPr>
          <w:rFonts w:ascii="Times New Roman" w:hAnsi="Times New Roman"/>
          <w:sz w:val="24"/>
        </w:rPr>
      </w:pPr>
      <w:r>
        <w:rPr>
          <w:rFonts w:ascii="Times New Roman" w:hAnsi="Times New Roman"/>
          <w:b/>
          <w:bCs/>
          <w:sz w:val="24"/>
        </w:rPr>
        <w:t>三、项目变动情况</w:t>
      </w:r>
    </w:p>
    <w:p>
      <w:pPr>
        <w:spacing w:line="360" w:lineRule="auto"/>
        <w:ind w:firstLine="480" w:firstLineChars="20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对照生态环境部2020环办环评688号文《污染影响类建设项目重大变动清单（试行）》，本项目工程建设内容与环评设计一致，无变动。</w:t>
      </w:r>
    </w:p>
    <w:p>
      <w:pPr>
        <w:widowControl/>
        <w:adjustRightInd w:val="0"/>
        <w:snapToGrid w:val="0"/>
        <w:spacing w:line="360" w:lineRule="auto"/>
        <w:ind w:left="239" w:leftChars="114" w:firstLine="311" w:firstLineChars="129"/>
        <w:rPr>
          <w:rFonts w:ascii="宋体" w:hAnsi="宋体" w:cs="宋体"/>
          <w:b/>
          <w:bCs/>
          <w:sz w:val="24"/>
        </w:rPr>
      </w:pPr>
      <w:r>
        <w:rPr>
          <w:rFonts w:hint="eastAsia" w:ascii="宋体" w:hAnsi="宋体" w:cs="宋体"/>
          <w:b/>
          <w:bCs/>
          <w:sz w:val="24"/>
        </w:rPr>
        <w:t>四、环境保护设施建设情况</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（1）生产废水</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喷淋塔饱和废液作为危险废物暂存于危废间，定期委托有资质的公司统一处置，不外排。</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（2）生活污水</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项目新增员工10人，均不住厂。生活废水后经化粪池处理后接入园区市政污水管网，纳入青洲污水处理厂集中进行处理。</w:t>
      </w:r>
    </w:p>
    <w:p>
      <w:pPr>
        <w:widowControl/>
        <w:spacing w:line="360" w:lineRule="auto"/>
        <w:ind w:firstLine="480" w:firstLineChars="200"/>
        <w:jc w:val="left"/>
        <w:rPr>
          <w:rFonts w:ascii="Times New Roman" w:hAnsi="Times New Roman"/>
          <w:sz w:val="24"/>
        </w:rPr>
      </w:pPr>
      <w:r>
        <w:rPr>
          <w:rFonts w:ascii="Times New Roman" w:hAnsi="Times New Roman"/>
          <w:sz w:val="24"/>
        </w:rPr>
        <w:t>（二）废气</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default" w:ascii="Times New Roman" w:hAnsi="Times New Roman" w:eastAsia="宋体" w:cs="Times New Roman"/>
          <w:color w:val="000000"/>
          <w:sz w:val="24"/>
          <w:lang w:val="en-US" w:eastAsia="zh-CN" w:bidi="zh-CN"/>
        </w:rPr>
        <w:t>项目废气主要来源于</w:t>
      </w:r>
      <w:r>
        <w:rPr>
          <w:rFonts w:hint="eastAsia" w:ascii="Times New Roman" w:hAnsi="Times New Roman" w:eastAsia="宋体" w:cs="Times New Roman"/>
          <w:color w:val="000000"/>
          <w:sz w:val="24"/>
          <w:lang w:val="en-US" w:eastAsia="zh-CN" w:bidi="zh-CN"/>
        </w:rPr>
        <w:t>吹膜、印刷工序产生的有机废气</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以</w:t>
      </w:r>
      <w:r>
        <w:rPr>
          <w:rFonts w:hint="default" w:ascii="Times New Roman" w:hAnsi="Times New Roman" w:eastAsia="宋体" w:cs="Times New Roman"/>
          <w:color w:val="000000"/>
          <w:sz w:val="24"/>
          <w:lang w:val="en-US" w:eastAsia="zh-CN" w:bidi="zh-CN"/>
        </w:rPr>
        <w:t>非甲烷总烃计)</w:t>
      </w:r>
      <w:r>
        <w:rPr>
          <w:rFonts w:hint="eastAsia" w:ascii="Times New Roman" w:hAnsi="Times New Roman" w:eastAsia="宋体" w:cs="Times New Roman"/>
          <w:color w:val="000000"/>
          <w:sz w:val="24"/>
          <w:lang w:val="en-US" w:eastAsia="zh-CN" w:bidi="zh-CN"/>
        </w:rPr>
        <w:t>；以及</w:t>
      </w:r>
      <w:r>
        <w:rPr>
          <w:rFonts w:hint="default" w:ascii="Times New Roman" w:hAnsi="Times New Roman" w:eastAsia="宋体" w:cs="Times New Roman"/>
          <w:color w:val="000000"/>
          <w:sz w:val="24"/>
          <w:lang w:val="en-US" w:eastAsia="zh-CN" w:bidi="zh-CN"/>
        </w:rPr>
        <w:t>加工粉尘(以颗粒物计)</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(1)有组织废气</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fldChar w:fldCharType="begin"/>
      </w:r>
      <w:r>
        <w:rPr>
          <w:rFonts w:hint="eastAsia" w:ascii="Times New Roman" w:hAnsi="Times New Roman" w:eastAsia="宋体" w:cs="Times New Roman"/>
          <w:color w:val="000000"/>
          <w:sz w:val="24"/>
          <w:lang w:val="en-US" w:eastAsia="zh-CN" w:bidi="zh-CN"/>
        </w:rPr>
        <w:instrText xml:space="preserve"> = 1 \* GB3 </w:instrText>
      </w:r>
      <w:r>
        <w:rPr>
          <w:rFonts w:hint="eastAsia" w:ascii="Times New Roman" w:hAnsi="Times New Roman" w:eastAsia="宋体" w:cs="Times New Roman"/>
          <w:color w:val="000000"/>
          <w:sz w:val="24"/>
          <w:lang w:val="en-US" w:eastAsia="zh-CN" w:bidi="zh-CN"/>
        </w:rPr>
        <w:fldChar w:fldCharType="separate"/>
      </w:r>
      <w:r>
        <w:rPr>
          <w:rFonts w:hint="eastAsia" w:ascii="Times New Roman" w:hAnsi="Times New Roman" w:eastAsia="宋体" w:cs="Times New Roman"/>
          <w:color w:val="000000"/>
          <w:sz w:val="24"/>
          <w:lang w:val="en-US" w:eastAsia="zh-CN" w:bidi="zh-CN"/>
        </w:rPr>
        <w:t>①</w:t>
      </w:r>
      <w:r>
        <w:rPr>
          <w:rFonts w:hint="eastAsia" w:ascii="Times New Roman" w:hAnsi="Times New Roman" w:eastAsia="宋体" w:cs="Times New Roman"/>
          <w:color w:val="000000"/>
          <w:sz w:val="24"/>
          <w:lang w:val="en-US" w:eastAsia="zh-CN" w:bidi="zh-CN"/>
        </w:rPr>
        <w:fldChar w:fldCharType="end"/>
      </w:r>
      <w:r>
        <w:rPr>
          <w:rFonts w:hint="eastAsia" w:ascii="Times New Roman" w:hAnsi="Times New Roman" w:eastAsia="宋体" w:cs="Times New Roman"/>
          <w:color w:val="000000"/>
          <w:sz w:val="24"/>
          <w:lang w:val="en-US" w:eastAsia="zh-CN" w:bidi="zh-CN"/>
        </w:rPr>
        <w:t>吹膜、印刷废气</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项目通过在吹膜机和印刷机上面设置“软帘+集气罩”收集的有机废气通过管道并入汇入楼顶的喷淋塔进行处理，处理后的废气通过现有的一根17m高的</w:t>
      </w:r>
      <w:r>
        <w:rPr>
          <w:rFonts w:hint="default" w:ascii="Times New Roman" w:hAnsi="Times New Roman" w:eastAsia="宋体" w:cs="Times New Roman"/>
          <w:color w:val="000000"/>
          <w:sz w:val="24"/>
          <w:lang w:val="en-US" w:eastAsia="zh-CN" w:bidi="zh-CN"/>
        </w:rPr>
        <w:t>排气筒排放</w:t>
      </w:r>
      <w:r>
        <w:rPr>
          <w:rFonts w:hint="eastAsia" w:ascii="Times New Roman" w:hAnsi="Times New Roman" w:eastAsia="宋体" w:cs="Times New Roman"/>
          <w:color w:val="000000"/>
          <w:sz w:val="24"/>
          <w:lang w:val="en-US" w:eastAsia="zh-CN" w:bidi="zh-CN"/>
        </w:rPr>
        <w:t>。</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fldChar w:fldCharType="begin"/>
      </w:r>
      <w:r>
        <w:rPr>
          <w:rFonts w:hint="eastAsia" w:ascii="Times New Roman" w:hAnsi="Times New Roman" w:eastAsia="宋体" w:cs="Times New Roman"/>
          <w:color w:val="000000"/>
          <w:sz w:val="24"/>
          <w:lang w:val="en-US" w:eastAsia="zh-CN" w:bidi="zh-CN"/>
        </w:rPr>
        <w:instrText xml:space="preserve"> = 2 \* GB3 \* MERGEFORMAT </w:instrText>
      </w:r>
      <w:r>
        <w:rPr>
          <w:rFonts w:hint="eastAsia" w:ascii="Times New Roman" w:hAnsi="Times New Roman" w:eastAsia="宋体" w:cs="Times New Roman"/>
          <w:color w:val="000000"/>
          <w:sz w:val="24"/>
          <w:lang w:val="en-US" w:eastAsia="zh-CN" w:bidi="zh-CN"/>
        </w:rPr>
        <w:fldChar w:fldCharType="separate"/>
      </w:r>
      <w:r>
        <w:rPr>
          <w:rFonts w:hint="eastAsia" w:ascii="Times New Roman" w:hAnsi="Times New Roman" w:eastAsia="宋体" w:cs="Times New Roman"/>
          <w:color w:val="000000"/>
          <w:sz w:val="24"/>
          <w:lang w:val="en-US" w:eastAsia="zh-CN" w:bidi="zh-CN"/>
        </w:rPr>
        <w:t>②</w:t>
      </w:r>
      <w:r>
        <w:rPr>
          <w:rFonts w:hint="eastAsia" w:ascii="Times New Roman" w:hAnsi="Times New Roman" w:eastAsia="宋体" w:cs="Times New Roman"/>
          <w:color w:val="000000"/>
          <w:sz w:val="24"/>
          <w:lang w:val="en-US" w:eastAsia="zh-CN" w:bidi="zh-CN"/>
        </w:rPr>
        <w:fldChar w:fldCharType="end"/>
      </w:r>
      <w:r>
        <w:rPr>
          <w:rFonts w:hint="eastAsia" w:ascii="Times New Roman" w:hAnsi="Times New Roman" w:eastAsia="宋体" w:cs="Times New Roman"/>
          <w:color w:val="000000"/>
          <w:sz w:val="24"/>
          <w:lang w:val="en-US" w:eastAsia="zh-CN" w:bidi="zh-CN"/>
        </w:rPr>
        <w:t>螺旋挤料</w:t>
      </w:r>
      <w:r>
        <w:rPr>
          <w:rFonts w:hint="default" w:ascii="Times New Roman" w:hAnsi="Times New Roman" w:eastAsia="宋体" w:cs="Times New Roman"/>
          <w:color w:val="000000"/>
          <w:sz w:val="24"/>
          <w:lang w:val="en-US" w:eastAsia="zh-CN" w:bidi="zh-CN"/>
        </w:rPr>
        <w:t>废气</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项目通过在可降解塑料粒子合成机上面设置“软帘+集气罩”收集的有机废气通过管道并入汇入楼顶的喷淋塔进行处理，处理后的废气通过现有的一根17m高的</w:t>
      </w:r>
      <w:r>
        <w:rPr>
          <w:rFonts w:hint="default" w:ascii="Times New Roman" w:hAnsi="Times New Roman" w:eastAsia="宋体" w:cs="Times New Roman"/>
          <w:color w:val="000000"/>
          <w:sz w:val="24"/>
          <w:lang w:val="en-US" w:eastAsia="zh-CN" w:bidi="zh-CN"/>
        </w:rPr>
        <w:t>排气筒排放</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③投料粉尘</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可降解生物树脂生产线加料过程</w:t>
      </w:r>
      <w:r>
        <w:rPr>
          <w:rFonts w:hint="default" w:ascii="Times New Roman" w:hAnsi="Times New Roman" w:eastAsia="宋体" w:cs="Times New Roman"/>
          <w:color w:val="000000"/>
          <w:sz w:val="24"/>
          <w:lang w:val="en-US" w:eastAsia="zh-CN" w:bidi="zh-CN"/>
        </w:rPr>
        <w:t>过程中</w:t>
      </w:r>
      <w:r>
        <w:rPr>
          <w:rFonts w:hint="eastAsia" w:ascii="Times New Roman" w:hAnsi="Times New Roman" w:eastAsia="宋体" w:cs="Times New Roman"/>
          <w:color w:val="000000"/>
          <w:sz w:val="24"/>
          <w:lang w:val="en-US" w:eastAsia="zh-CN" w:bidi="zh-CN"/>
        </w:rPr>
        <w:t>使用的原料为粉状物料，投放过程产生的粉尘经集气罩收集后先经过布袋除尘器处理后与有机废气一同经过现有的一根17m高的排气筒排放。</w:t>
      </w:r>
    </w:p>
    <w:p>
      <w:pPr>
        <w:widowControl/>
        <w:spacing w:line="360" w:lineRule="auto"/>
        <w:ind w:firstLine="480" w:firstLineChars="200"/>
        <w:jc w:val="left"/>
        <w:rPr>
          <w:rFonts w:hint="eastAsia" w:ascii="Times New Roman" w:hAnsi="Times New Roman" w:eastAsia="宋体"/>
          <w:color w:val="000000"/>
          <w:sz w:val="24"/>
          <w:lang w:val="en-US" w:eastAsia="zh-CN" w:bidi="zh-CN"/>
        </w:rPr>
      </w:pPr>
      <w:r>
        <w:rPr>
          <w:rFonts w:ascii="Times New Roman" w:hAnsi="Times New Roman"/>
          <w:sz w:val="24"/>
        </w:rPr>
        <w:t>（</w:t>
      </w:r>
      <w:r>
        <w:rPr>
          <w:rFonts w:hint="eastAsia" w:ascii="Times New Roman" w:hAnsi="Times New Roman"/>
          <w:sz w:val="24"/>
          <w:lang w:val="en-US" w:eastAsia="zh-CN"/>
        </w:rPr>
        <w:t>三</w:t>
      </w:r>
      <w:r>
        <w:rPr>
          <w:rFonts w:ascii="Times New Roman" w:hAnsi="Times New Roman"/>
          <w:sz w:val="24"/>
        </w:rPr>
        <w:t>）</w:t>
      </w:r>
      <w:r>
        <w:rPr>
          <w:rFonts w:hint="eastAsia" w:ascii="Times New Roman" w:hAnsi="Times New Roman"/>
          <w:sz w:val="24"/>
          <w:lang w:val="en-US" w:eastAsia="zh-CN"/>
        </w:rPr>
        <w:t>噪声</w:t>
      </w:r>
    </w:p>
    <w:p>
      <w:pPr>
        <w:widowControl/>
        <w:adjustRightInd w:val="0"/>
        <w:snapToGrid w:val="0"/>
        <w:spacing w:line="360" w:lineRule="auto"/>
        <w:ind w:firstLine="482"/>
        <w:rPr>
          <w:rFonts w:hint="eastAsia" w:ascii="Times New Roman" w:hAnsi="Times New Roman" w:eastAsia="宋体" w:cs="Times New Roman"/>
          <w:color w:val="000000"/>
          <w:sz w:val="24"/>
          <w:lang w:val="zh-CN" w:eastAsia="zh-CN" w:bidi="zh-CN"/>
        </w:rPr>
      </w:pPr>
      <w:r>
        <w:rPr>
          <w:rFonts w:hint="eastAsia" w:ascii="Times New Roman" w:hAnsi="Times New Roman" w:eastAsia="宋体" w:cs="Times New Roman"/>
          <w:color w:val="000000"/>
          <w:sz w:val="24"/>
          <w:lang w:val="en-US" w:eastAsia="zh-CN" w:bidi="zh-CN"/>
        </w:rPr>
        <w:t>本项目运营期的噪声污染主要来源于生产设备产生的噪声，包括可降解塑料粒子合成机、吹膜机、印刷机等设备。</w:t>
      </w:r>
      <w:r>
        <w:rPr>
          <w:rFonts w:hint="eastAsia" w:ascii="Times New Roman" w:hAnsi="Times New Roman" w:eastAsia="宋体" w:cs="Times New Roman"/>
          <w:color w:val="000000"/>
          <w:sz w:val="24"/>
          <w:lang w:val="zh-CN" w:eastAsia="zh-CN" w:bidi="zh-CN"/>
        </w:rPr>
        <w:t>合理布置产生噪声的设备，并采取隔声、消声、减振等综合降噪措施；加强设备维护，确保设备处于良好的运转状态，杜绝因设备不正常运行时产生的高噪声现象。</w:t>
      </w:r>
    </w:p>
    <w:p>
      <w:pPr>
        <w:widowControl/>
        <w:spacing w:line="360" w:lineRule="auto"/>
        <w:ind w:firstLine="480" w:firstLineChars="200"/>
        <w:jc w:val="left"/>
        <w:rPr>
          <w:rFonts w:ascii="Times New Roman" w:hAnsi="Times New Roman"/>
          <w:sz w:val="24"/>
        </w:rPr>
      </w:pPr>
      <w:r>
        <w:rPr>
          <w:rFonts w:ascii="Times New Roman" w:hAnsi="Times New Roman"/>
          <w:sz w:val="24"/>
        </w:rPr>
        <w:t>（四）固废</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项目生活垃圾由环卫部门外运处置；一般工业废物收集后定期外售物资回收单位；</w:t>
      </w:r>
      <w:r>
        <w:rPr>
          <w:rFonts w:hint="eastAsia" w:ascii="Times New Roman" w:hAnsi="Times New Roman" w:eastAsia="宋体" w:cs="Times New Roman"/>
          <w:color w:val="000000"/>
          <w:sz w:val="24"/>
          <w:lang w:val="en-GB" w:eastAsia="zh-CN" w:bidi="zh-CN"/>
        </w:rPr>
        <w:t>次品、边角料经破碎后回用于生产；</w:t>
      </w:r>
      <w:r>
        <w:rPr>
          <w:rFonts w:hint="default" w:ascii="Times New Roman" w:hAnsi="Times New Roman" w:eastAsia="宋体" w:cs="Times New Roman"/>
          <w:color w:val="000000"/>
          <w:sz w:val="24"/>
          <w:lang w:val="en-US" w:eastAsia="zh-CN" w:bidi="zh-CN"/>
        </w:rPr>
        <w:t>危险废物：设置危险废物暂存间，</w:t>
      </w:r>
      <w:r>
        <w:rPr>
          <w:rFonts w:hint="default" w:ascii="Times New Roman" w:hAnsi="Times New Roman" w:eastAsia="宋体" w:cs="Times New Roman"/>
          <w:color w:val="000000"/>
          <w:sz w:val="24"/>
          <w:lang w:val="en-GB" w:eastAsia="zh-CN" w:bidi="zh-CN"/>
        </w:rPr>
        <w:t>妥善分类收集后</w:t>
      </w:r>
      <w:r>
        <w:rPr>
          <w:rFonts w:hint="default" w:ascii="Times New Roman" w:hAnsi="Times New Roman" w:eastAsia="宋体" w:cs="Times New Roman"/>
          <w:color w:val="000000"/>
          <w:sz w:val="24"/>
          <w:lang w:val="en-US" w:eastAsia="zh-CN" w:bidi="zh-CN"/>
        </w:rPr>
        <w:t>定期委托</w:t>
      </w:r>
      <w:r>
        <w:rPr>
          <w:rFonts w:hint="eastAsia" w:ascii="Times New Roman" w:hAnsi="Times New Roman" w:eastAsia="宋体" w:cs="Times New Roman"/>
          <w:color w:val="000000"/>
          <w:sz w:val="24"/>
          <w:lang w:val="en-US" w:eastAsia="zh-CN" w:bidi="zh-CN"/>
        </w:rPr>
        <w:t>福州</w:t>
      </w:r>
      <w:r>
        <w:rPr>
          <w:rFonts w:hint="eastAsia" w:ascii="Times New Roman" w:hAnsi="Times New Roman" w:cs="Times New Roman"/>
          <w:color w:val="000000"/>
          <w:sz w:val="24"/>
          <w:lang w:val="en-US" w:eastAsia="zh-CN" w:bidi="zh-CN"/>
        </w:rPr>
        <w:t>市</w:t>
      </w:r>
      <w:r>
        <w:rPr>
          <w:rFonts w:hint="eastAsia" w:ascii="Times New Roman" w:hAnsi="Times New Roman" w:eastAsia="宋体" w:cs="Times New Roman"/>
          <w:color w:val="000000"/>
          <w:sz w:val="24"/>
          <w:lang w:val="en-US" w:eastAsia="zh-CN" w:bidi="zh-CN"/>
        </w:rPr>
        <w:t>福化环保科技有限公司</w:t>
      </w:r>
      <w:r>
        <w:rPr>
          <w:rFonts w:hint="default" w:ascii="Times New Roman" w:hAnsi="Times New Roman" w:eastAsia="宋体" w:cs="Times New Roman"/>
          <w:color w:val="000000"/>
          <w:sz w:val="24"/>
          <w:lang w:val="en-US" w:eastAsia="zh-CN" w:bidi="zh-CN"/>
        </w:rPr>
        <w:t>进行处置</w:t>
      </w:r>
      <w:r>
        <w:rPr>
          <w:rFonts w:hint="eastAsia" w:ascii="Times New Roman" w:hAnsi="Times New Roman" w:eastAsia="宋体" w:cs="Times New Roman"/>
          <w:color w:val="000000"/>
          <w:sz w:val="24"/>
          <w:lang w:val="en-US" w:eastAsia="zh-CN" w:bidi="zh-CN"/>
        </w:rPr>
        <w:t>。</w:t>
      </w:r>
    </w:p>
    <w:p>
      <w:pPr>
        <w:spacing w:line="360" w:lineRule="auto"/>
        <w:ind w:firstLine="482" w:firstLineChars="200"/>
        <w:rPr>
          <w:rFonts w:ascii="宋体" w:hAnsi="宋体" w:cs="宋体"/>
          <w:b/>
          <w:bCs/>
          <w:sz w:val="24"/>
        </w:rPr>
      </w:pPr>
      <w:r>
        <w:rPr>
          <w:rFonts w:hint="eastAsia" w:ascii="宋体" w:hAnsi="宋体" w:cs="宋体"/>
          <w:b/>
          <w:bCs/>
          <w:sz w:val="24"/>
        </w:rPr>
        <w:t>五、环境保护设施调试效果</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根据“福建安谱环境检测技术有限公司2022年12月16日</w:t>
      </w:r>
      <w:r>
        <w:rPr>
          <w:rFonts w:hint="default" w:ascii="Times New Roman" w:hAnsi="Times New Roman" w:eastAsia="宋体" w:cs="Times New Roman"/>
          <w:color w:val="000000"/>
          <w:sz w:val="24"/>
          <w:lang w:val="en-US" w:eastAsia="zh-CN" w:bidi="zh-CN"/>
        </w:rPr>
        <w:t>检测报告</w:t>
      </w:r>
      <w:r>
        <w:rPr>
          <w:rFonts w:hint="eastAsia" w:ascii="Times New Roman" w:hAnsi="Times New Roman" w:eastAsia="宋体" w:cs="Times New Roman"/>
          <w:color w:val="000000"/>
          <w:sz w:val="24"/>
          <w:lang w:val="en-US" w:eastAsia="zh-CN" w:bidi="zh-CN"/>
        </w:rPr>
        <w:t>报告编号：APT检字[2022A]第12058号”，验收监测结果如下：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（1）废水检测结果</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default" w:ascii="Times New Roman" w:hAnsi="Times New Roman" w:eastAsia="宋体" w:cs="Times New Roman"/>
          <w:color w:val="000000"/>
          <w:sz w:val="24"/>
          <w:lang w:val="en-US" w:eastAsia="zh-CN" w:bidi="zh-CN"/>
        </w:rPr>
        <w:t>验收检测期间，项目废水总排放口各污染物浓度平均值或范围分别为：pH</w:t>
      </w:r>
      <w:r>
        <w:rPr>
          <w:rFonts w:hint="eastAsia" w:ascii="Times New Roman" w:hAnsi="Times New Roman" w:eastAsia="宋体" w:cs="Times New Roman"/>
          <w:color w:val="000000"/>
          <w:sz w:val="24"/>
          <w:lang w:val="en-US" w:eastAsia="zh-CN" w:bidi="zh-CN"/>
        </w:rPr>
        <w:t>6.4-6.7</w:t>
      </w:r>
      <w:r>
        <w:rPr>
          <w:rFonts w:hint="default" w:ascii="Times New Roman" w:hAnsi="Times New Roman" w:eastAsia="宋体" w:cs="Times New Roman"/>
          <w:color w:val="000000"/>
          <w:sz w:val="24"/>
          <w:lang w:val="en-US" w:eastAsia="zh-CN" w:bidi="zh-CN"/>
        </w:rPr>
        <w:t>、悬浮物</w:t>
      </w:r>
      <w:r>
        <w:rPr>
          <w:rFonts w:hint="eastAsia" w:ascii="Times New Roman" w:hAnsi="Times New Roman" w:eastAsia="宋体" w:cs="Times New Roman"/>
          <w:color w:val="000000"/>
          <w:sz w:val="24"/>
          <w:lang w:val="en-US" w:eastAsia="zh-CN" w:bidi="zh-CN"/>
        </w:rPr>
        <w:t>79</w:t>
      </w:r>
      <w:r>
        <w:rPr>
          <w:rFonts w:hint="default" w:ascii="Times New Roman" w:hAnsi="Times New Roman" w:eastAsia="宋体" w:cs="Times New Roman"/>
          <w:color w:val="000000"/>
          <w:sz w:val="24"/>
          <w:lang w:val="en-US" w:eastAsia="zh-CN" w:bidi="zh-CN"/>
        </w:rPr>
        <w:t>mg/L、</w:t>
      </w:r>
      <w:r>
        <w:rPr>
          <w:rFonts w:hint="eastAsia" w:ascii="Times New Roman" w:hAnsi="Times New Roman" w:eastAsia="宋体" w:cs="Times New Roman"/>
          <w:color w:val="000000"/>
          <w:sz w:val="24"/>
          <w:lang w:val="en-US" w:eastAsia="zh-CN" w:bidi="zh-CN"/>
        </w:rPr>
        <w:t>化学需氧量187mg/L、</w:t>
      </w:r>
      <w:r>
        <w:rPr>
          <w:rFonts w:hint="default" w:ascii="Times New Roman" w:hAnsi="Times New Roman" w:eastAsia="宋体" w:cs="Times New Roman"/>
          <w:color w:val="000000"/>
          <w:sz w:val="24"/>
          <w:lang w:val="en-US" w:eastAsia="zh-CN" w:bidi="zh-CN"/>
        </w:rPr>
        <w:t>五日生化需氧量</w:t>
      </w:r>
      <w:r>
        <w:rPr>
          <w:rFonts w:hint="eastAsia" w:ascii="Times New Roman" w:hAnsi="Times New Roman" w:eastAsia="宋体" w:cs="Times New Roman"/>
          <w:color w:val="000000"/>
          <w:sz w:val="24"/>
          <w:lang w:val="en-US" w:eastAsia="zh-CN" w:bidi="zh-CN"/>
        </w:rPr>
        <w:t>76.3</w:t>
      </w:r>
      <w:r>
        <w:rPr>
          <w:rFonts w:hint="default" w:ascii="Times New Roman" w:hAnsi="Times New Roman" w:eastAsia="宋体" w:cs="Times New Roman"/>
          <w:color w:val="000000"/>
          <w:sz w:val="24"/>
          <w:lang w:val="en-US" w:eastAsia="zh-CN" w:bidi="zh-CN"/>
        </w:rPr>
        <w:t>mg/L，均达到批复要求的</w:t>
      </w:r>
      <w:r>
        <w:rPr>
          <w:rFonts w:hint="default" w:ascii="Times New Roman" w:hAnsi="Times New Roman" w:eastAsia="宋体" w:cs="Times New Roman"/>
          <w:color w:val="000000"/>
          <w:sz w:val="24"/>
          <w:lang w:val="zh-CN" w:eastAsia="zh-CN" w:bidi="zh-CN"/>
        </w:rPr>
        <w:t>《污水综合排放标堆》</w:t>
      </w:r>
      <w:r>
        <w:rPr>
          <w:rFonts w:hint="default" w:ascii="Times New Roman" w:hAnsi="Times New Roman" w:eastAsia="宋体" w:cs="Times New Roman"/>
          <w:color w:val="000000"/>
          <w:sz w:val="24"/>
          <w:lang w:val="en-US" w:eastAsia="zh-CN" w:bidi="zh-CN"/>
        </w:rPr>
        <w:t>（GB8978-1996）</w:t>
      </w:r>
      <w:r>
        <w:rPr>
          <w:rFonts w:hint="default" w:ascii="Times New Roman" w:hAnsi="Times New Roman" w:eastAsia="宋体" w:cs="Times New Roman"/>
          <w:color w:val="000000"/>
          <w:sz w:val="24"/>
          <w:lang w:val="zh-CN" w:eastAsia="zh-CN" w:bidi="zh-CN"/>
        </w:rPr>
        <w:t>表4中三级标准；</w:t>
      </w:r>
      <w:r>
        <w:rPr>
          <w:rFonts w:hint="default" w:ascii="Times New Roman" w:hAnsi="Times New Roman" w:eastAsia="宋体" w:cs="Times New Roman"/>
          <w:color w:val="000000"/>
          <w:sz w:val="24"/>
          <w:lang w:val="en-US" w:eastAsia="zh-CN" w:bidi="zh-CN"/>
        </w:rPr>
        <w:t>氨氮</w:t>
      </w:r>
      <w:r>
        <w:rPr>
          <w:rFonts w:hint="eastAsia" w:ascii="Times New Roman" w:hAnsi="Times New Roman" w:eastAsia="宋体" w:cs="Times New Roman"/>
          <w:color w:val="000000"/>
          <w:sz w:val="24"/>
          <w:lang w:val="en-US" w:eastAsia="zh-CN" w:bidi="zh-CN"/>
        </w:rPr>
        <w:t>22.0</w:t>
      </w:r>
      <w:r>
        <w:rPr>
          <w:rFonts w:hint="default" w:ascii="Times New Roman" w:hAnsi="Times New Roman" w:eastAsia="宋体" w:cs="Times New Roman"/>
          <w:color w:val="000000"/>
          <w:sz w:val="24"/>
          <w:lang w:val="en-US" w:eastAsia="zh-CN" w:bidi="zh-CN"/>
        </w:rPr>
        <w:t>mg/L</w:t>
      </w:r>
      <w:r>
        <w:rPr>
          <w:rFonts w:hint="eastAsia" w:ascii="Times New Roman" w:hAnsi="Times New Roman" w:eastAsia="宋体" w:cs="Times New Roman"/>
          <w:color w:val="000000"/>
          <w:sz w:val="24"/>
          <w:lang w:val="en-US" w:eastAsia="zh-CN" w:bidi="zh-CN"/>
        </w:rPr>
        <w:t>，</w:t>
      </w:r>
      <w:r>
        <w:rPr>
          <w:rFonts w:hint="default" w:ascii="Times New Roman" w:hAnsi="Times New Roman" w:eastAsia="宋体" w:cs="Times New Roman"/>
          <w:color w:val="000000"/>
          <w:sz w:val="24"/>
          <w:lang w:val="en-US" w:eastAsia="zh-CN" w:bidi="zh-CN"/>
        </w:rPr>
        <w:t>达到批复要求的氨</w:t>
      </w:r>
      <w:r>
        <w:rPr>
          <w:rFonts w:hint="default" w:ascii="Times New Roman" w:hAnsi="Times New Roman" w:eastAsia="宋体" w:cs="Times New Roman"/>
          <w:color w:val="000000"/>
          <w:sz w:val="24"/>
          <w:lang w:val="zh-CN" w:eastAsia="zh-CN" w:bidi="zh-CN"/>
        </w:rPr>
        <w:t>氮排放参照执行</w:t>
      </w:r>
      <w:r>
        <w:rPr>
          <w:rFonts w:hint="default" w:ascii="Times New Roman" w:hAnsi="Times New Roman" w:eastAsia="宋体" w:cs="Times New Roman"/>
          <w:color w:val="000000"/>
          <w:sz w:val="24"/>
          <w:lang w:val="en-US" w:eastAsia="zh-CN" w:bidi="zh-CN"/>
        </w:rPr>
        <w:t>GB/T31962-2015</w:t>
      </w:r>
      <w:r>
        <w:rPr>
          <w:rFonts w:hint="default" w:ascii="Times New Roman" w:hAnsi="Times New Roman" w:eastAsia="宋体" w:cs="Times New Roman"/>
          <w:color w:val="000000"/>
          <w:sz w:val="24"/>
          <w:lang w:val="zh-CN" w:eastAsia="zh-CN" w:bidi="zh-CN"/>
        </w:rPr>
        <w:t>《污水排入城镇下水道水质标准》</w:t>
      </w:r>
      <w:r>
        <w:rPr>
          <w:rFonts w:hint="default" w:ascii="Times New Roman" w:hAnsi="Times New Roman" w:eastAsia="宋体" w:cs="Times New Roman"/>
          <w:color w:val="000000"/>
          <w:sz w:val="24"/>
          <w:lang w:val="en-US" w:eastAsia="zh-CN" w:bidi="zh-CN"/>
        </w:rPr>
        <w:t>表1中B等级</w:t>
      </w:r>
      <w:r>
        <w:rPr>
          <w:rFonts w:hint="default" w:ascii="Times New Roman" w:hAnsi="Times New Roman" w:eastAsia="宋体" w:cs="Times New Roman"/>
          <w:color w:val="000000"/>
          <w:sz w:val="24"/>
          <w:lang w:val="zh-CN" w:eastAsia="zh-CN" w:bidi="zh-CN"/>
        </w:rPr>
        <w:t>标准限值</w:t>
      </w:r>
      <w:r>
        <w:rPr>
          <w:rFonts w:hint="default" w:ascii="Times New Roman" w:hAnsi="Times New Roman" w:eastAsia="宋体" w:cs="Times New Roman"/>
          <w:color w:val="000000"/>
          <w:sz w:val="24"/>
          <w:lang w:val="en-US" w:eastAsia="zh-CN" w:bidi="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（2）废气检测结果</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验收检测期间：</w:t>
      </w:r>
    </w:p>
    <w:p>
      <w:pPr>
        <w:widowControl/>
        <w:adjustRightInd w:val="0"/>
        <w:snapToGrid w:val="0"/>
        <w:spacing w:line="360" w:lineRule="auto"/>
        <w:ind w:firstLine="482"/>
        <w:rPr>
          <w:rFonts w:hint="default"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通过在各新增设备上面设置“软帘+集气罩”有机废气经收集后通过已建的废气处理设施喷淋塔处理后通过现有的一根17m高的排气筒排放；投料粉尘经收集够通过布袋除尘器处理后与有机废气通过同一根排气筒排放。非甲烷总烃有组织排放浓度为</w:t>
      </w:r>
      <w:r>
        <w:rPr>
          <w:rFonts w:hint="eastAsia" w:ascii="Times New Roman" w:hAnsi="Times New Roman" w:cs="Times New Roman"/>
          <w:color w:val="000000"/>
          <w:sz w:val="24"/>
          <w:lang w:val="en-US" w:eastAsia="zh-CN" w:bidi="zh-CN"/>
        </w:rPr>
        <w:t>12.1</w:t>
      </w:r>
      <w:r>
        <w:rPr>
          <w:rFonts w:hint="eastAsia" w:ascii="Times New Roman" w:hAnsi="Times New Roman" w:eastAsia="宋体" w:cs="Times New Roman"/>
          <w:color w:val="000000"/>
          <w:sz w:val="24"/>
          <w:lang w:val="en-US" w:eastAsia="zh-CN" w:bidi="zh-CN"/>
        </w:rPr>
        <w:t>mg/m3，排放速率0.</w:t>
      </w:r>
      <w:r>
        <w:rPr>
          <w:rFonts w:hint="eastAsia" w:ascii="Times New Roman" w:hAnsi="Times New Roman" w:cs="Times New Roman"/>
          <w:color w:val="000000"/>
          <w:sz w:val="24"/>
          <w:lang w:val="en-US" w:eastAsia="zh-CN" w:bidi="zh-CN"/>
        </w:rPr>
        <w:t>27</w:t>
      </w:r>
      <w:r>
        <w:rPr>
          <w:rFonts w:hint="eastAsia" w:ascii="Times New Roman" w:hAnsi="Times New Roman" w:eastAsia="宋体" w:cs="Times New Roman"/>
          <w:color w:val="000000"/>
          <w:sz w:val="24"/>
          <w:lang w:val="en-US" w:eastAsia="zh-CN" w:bidi="zh-CN"/>
        </w:rPr>
        <w:t>kg/h，处理率达</w:t>
      </w:r>
      <w:r>
        <w:rPr>
          <w:rFonts w:hint="eastAsia" w:ascii="Times New Roman" w:hAnsi="Times New Roman" w:cs="Times New Roman"/>
          <w:color w:val="000000"/>
          <w:sz w:val="24"/>
          <w:lang w:val="en-US" w:eastAsia="zh-CN" w:bidi="zh-CN"/>
        </w:rPr>
        <w:t>79</w:t>
      </w:r>
      <w:r>
        <w:rPr>
          <w:rFonts w:hint="eastAsia" w:ascii="Times New Roman" w:hAnsi="Times New Roman" w:eastAsia="宋体" w:cs="Times New Roman"/>
          <w:color w:val="000000"/>
          <w:sz w:val="24"/>
          <w:lang w:val="en-US" w:eastAsia="zh-CN" w:bidi="zh-CN"/>
        </w:rPr>
        <w:t>%。达到批复所要求的《印刷行业挥发性有机物排放标准》(DB35/1784-2018)表1标准限制</w:t>
      </w:r>
      <w:r>
        <w:rPr>
          <w:rFonts w:hint="default" w:ascii="Times New Roman" w:hAnsi="Times New Roman" w:eastAsia="宋体" w:cs="Times New Roman"/>
          <w:color w:val="000000"/>
          <w:sz w:val="24"/>
          <w:lang w:val="en-US" w:eastAsia="zh-CN" w:bidi="zh-CN"/>
        </w:rPr>
        <w:t>(非甲烷总烃≤</w:t>
      </w:r>
      <w:r>
        <w:rPr>
          <w:rFonts w:hint="eastAsia" w:ascii="Times New Roman" w:hAnsi="Times New Roman" w:eastAsia="宋体" w:cs="Times New Roman"/>
          <w:color w:val="000000"/>
          <w:sz w:val="24"/>
          <w:lang w:val="en-US" w:eastAsia="zh-CN" w:bidi="zh-CN"/>
        </w:rPr>
        <w:t>5</w:t>
      </w:r>
      <w:r>
        <w:rPr>
          <w:rFonts w:hint="default" w:ascii="Times New Roman" w:hAnsi="Times New Roman" w:eastAsia="宋体" w:cs="Times New Roman"/>
          <w:color w:val="000000"/>
          <w:sz w:val="24"/>
          <w:lang w:val="en-US" w:eastAsia="zh-CN" w:bidi="zh-CN"/>
        </w:rPr>
        <w:t>0mg/m</w:t>
      </w:r>
      <w:r>
        <w:rPr>
          <w:rFonts w:hint="default" w:ascii="Times New Roman" w:hAnsi="Times New Roman" w:eastAsia="宋体" w:cs="Times New Roman"/>
          <w:color w:val="000000"/>
          <w:sz w:val="24"/>
          <w:vertAlign w:val="superscript"/>
          <w:lang w:val="en-US" w:eastAsia="zh-CN" w:bidi="zh-CN"/>
        </w:rPr>
        <w:t>3</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；颗粒物有组织排放浓度为8.6mg/m3，排放速率0.2kg/h，处理率达78%。颗粒物执行</w:t>
      </w:r>
      <w:r>
        <w:rPr>
          <w:rFonts w:hint="default" w:ascii="Times New Roman" w:hAnsi="Times New Roman" w:eastAsia="宋体" w:cs="Times New Roman"/>
          <w:color w:val="000000"/>
          <w:sz w:val="24"/>
          <w:lang w:val="en-US" w:eastAsia="zh-CN" w:bidi="zh-CN"/>
        </w:rPr>
        <w:t>《合成树脂工业污染物排放标准》(GB31572-2015)表</w:t>
      </w:r>
      <w:r>
        <w:rPr>
          <w:rFonts w:hint="eastAsia" w:ascii="Times New Roman" w:hAnsi="Times New Roman" w:eastAsia="宋体" w:cs="Times New Roman"/>
          <w:color w:val="000000"/>
          <w:sz w:val="24"/>
          <w:lang w:val="en-US" w:eastAsia="zh-CN" w:bidi="zh-CN"/>
        </w:rPr>
        <w:t>4</w:t>
      </w:r>
      <w:r>
        <w:rPr>
          <w:rFonts w:hint="default" w:ascii="Times New Roman" w:hAnsi="Times New Roman" w:eastAsia="宋体" w:cs="Times New Roman"/>
          <w:color w:val="000000"/>
          <w:sz w:val="24"/>
          <w:lang w:val="en-US" w:eastAsia="zh-CN" w:bidi="zh-CN"/>
        </w:rPr>
        <w:t>标准限值</w:t>
      </w:r>
      <w:r>
        <w:rPr>
          <w:rFonts w:hint="eastAsia" w:ascii="Times New Roman" w:hAnsi="Times New Roman" w:eastAsia="宋体" w:cs="Times New Roman"/>
          <w:color w:val="000000"/>
          <w:sz w:val="24"/>
          <w:lang w:val="en-US" w:eastAsia="zh-CN" w:bidi="zh-CN"/>
        </w:rPr>
        <w:t>（</w:t>
      </w:r>
      <w:r>
        <w:rPr>
          <w:rFonts w:hint="default" w:ascii="Times New Roman" w:hAnsi="Times New Roman" w:eastAsia="宋体" w:cs="Times New Roman"/>
          <w:color w:val="000000"/>
          <w:sz w:val="24"/>
          <w:lang w:val="en-US" w:eastAsia="zh-CN" w:bidi="zh-CN"/>
        </w:rPr>
        <w:t>即</w:t>
      </w:r>
      <w:r>
        <w:rPr>
          <w:rFonts w:hint="eastAsia" w:ascii="Times New Roman" w:hAnsi="Times New Roman" w:eastAsia="宋体" w:cs="Times New Roman"/>
          <w:color w:val="000000"/>
          <w:sz w:val="24"/>
          <w:lang w:val="en-US" w:eastAsia="zh-CN" w:bidi="zh-CN"/>
        </w:rPr>
        <w:t>颗粒物</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30</w:t>
      </w:r>
      <w:r>
        <w:rPr>
          <w:rFonts w:hint="default" w:ascii="Times New Roman" w:hAnsi="Times New Roman" w:eastAsia="宋体" w:cs="Times New Roman"/>
          <w:color w:val="000000"/>
          <w:sz w:val="24"/>
          <w:lang w:val="en-US" w:eastAsia="zh-CN" w:bidi="zh-CN"/>
        </w:rPr>
        <w:t>mg/m</w:t>
      </w:r>
      <w:r>
        <w:rPr>
          <w:rFonts w:hint="default" w:ascii="Times New Roman" w:hAnsi="Times New Roman" w:eastAsia="宋体" w:cs="Times New Roman"/>
          <w:color w:val="000000"/>
          <w:sz w:val="24"/>
          <w:vertAlign w:val="superscript"/>
          <w:lang w:val="en-US" w:eastAsia="zh-CN" w:bidi="zh-CN"/>
        </w:rPr>
        <w:t>3</w:t>
      </w:r>
      <w:r>
        <w:rPr>
          <w:rFonts w:hint="eastAsia" w:ascii="Times New Roman" w:hAnsi="Times New Roman" w:eastAsia="宋体" w:cs="Times New Roman"/>
          <w:color w:val="000000"/>
          <w:sz w:val="24"/>
          <w:lang w:val="en-US" w:eastAsia="zh-CN" w:bidi="zh-CN"/>
        </w:rPr>
        <w:t>）。</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厂界非甲烷总烃无组织排放最大浓度为0.8mg/m</w:t>
      </w:r>
      <w:r>
        <w:rPr>
          <w:rFonts w:hint="eastAsia" w:ascii="Times New Roman" w:hAnsi="Times New Roman" w:eastAsia="宋体" w:cs="Times New Roman"/>
          <w:color w:val="000000"/>
          <w:sz w:val="24"/>
          <w:vertAlign w:val="superscript"/>
          <w:lang w:val="en-US" w:eastAsia="zh-CN" w:bidi="zh-CN"/>
        </w:rPr>
        <w:t>3</w:t>
      </w:r>
      <w:r>
        <w:rPr>
          <w:rFonts w:hint="eastAsia" w:ascii="Times New Roman" w:hAnsi="Times New Roman" w:eastAsia="宋体" w:cs="Times New Roman"/>
          <w:color w:val="000000"/>
          <w:sz w:val="24"/>
          <w:lang w:val="en-US" w:eastAsia="zh-CN" w:bidi="zh-CN"/>
        </w:rPr>
        <w:t>，达到批复所要求的《印刷行业挥发性有机物排放标准》(DB35/1784-2018)</w:t>
      </w:r>
      <w:r>
        <w:rPr>
          <w:rFonts w:hint="default" w:ascii="Times New Roman" w:hAnsi="Times New Roman" w:eastAsia="宋体" w:cs="Times New Roman"/>
          <w:color w:val="000000"/>
          <w:sz w:val="24"/>
          <w:lang w:val="en-US" w:eastAsia="zh-CN" w:bidi="zh-CN"/>
        </w:rPr>
        <w:t>表</w:t>
      </w:r>
      <w:r>
        <w:rPr>
          <w:rFonts w:hint="eastAsia" w:ascii="Times New Roman" w:hAnsi="Times New Roman" w:eastAsia="宋体" w:cs="Times New Roman"/>
          <w:color w:val="000000"/>
          <w:sz w:val="24"/>
          <w:lang w:val="en-US" w:eastAsia="zh-CN" w:bidi="zh-CN"/>
        </w:rPr>
        <w:t>3标准限值</w:t>
      </w:r>
      <w:r>
        <w:rPr>
          <w:rFonts w:hint="default" w:ascii="Times New Roman" w:hAnsi="Times New Roman" w:eastAsia="宋体" w:cs="Times New Roman"/>
          <w:color w:val="000000"/>
          <w:sz w:val="24"/>
          <w:lang w:val="en-US" w:eastAsia="zh-CN" w:bidi="zh-CN"/>
        </w:rPr>
        <w:t>(即非甲烷总烃≤2.0mg/m</w:t>
      </w:r>
      <w:r>
        <w:rPr>
          <w:rFonts w:hint="default" w:ascii="Times New Roman" w:hAnsi="Times New Roman" w:eastAsia="宋体" w:cs="Times New Roman"/>
          <w:color w:val="000000"/>
          <w:sz w:val="24"/>
          <w:vertAlign w:val="superscript"/>
          <w:lang w:val="en-US" w:eastAsia="zh-CN" w:bidi="zh-CN"/>
        </w:rPr>
        <w:t>3</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，厂界颗粒物无组织排放最大浓度为0.349mg/m</w:t>
      </w:r>
      <w:r>
        <w:rPr>
          <w:rFonts w:hint="eastAsia" w:ascii="Times New Roman" w:hAnsi="Times New Roman" w:eastAsia="宋体" w:cs="Times New Roman"/>
          <w:color w:val="000000"/>
          <w:sz w:val="24"/>
          <w:vertAlign w:val="superscript"/>
          <w:lang w:val="en-US" w:eastAsia="zh-CN" w:bidi="zh-CN"/>
        </w:rPr>
        <w:t>3</w:t>
      </w:r>
      <w:r>
        <w:rPr>
          <w:rFonts w:hint="eastAsia" w:ascii="Times New Roman" w:hAnsi="Times New Roman" w:eastAsia="宋体" w:cs="Times New Roman"/>
          <w:color w:val="000000"/>
          <w:sz w:val="24"/>
          <w:lang w:val="en-US" w:eastAsia="zh-CN" w:bidi="zh-CN"/>
        </w:rPr>
        <w:t>，达到批复所要求的</w:t>
      </w:r>
      <w:r>
        <w:rPr>
          <w:rFonts w:hint="default" w:ascii="Times New Roman" w:hAnsi="Times New Roman" w:eastAsia="宋体" w:cs="Times New Roman"/>
          <w:color w:val="000000"/>
          <w:sz w:val="24"/>
          <w:lang w:val="en-US" w:eastAsia="zh-CN" w:bidi="zh-CN"/>
        </w:rPr>
        <w:t>《合成树脂工业污染物排放标准》(GB31572-2015)表</w:t>
      </w:r>
      <w:r>
        <w:rPr>
          <w:rFonts w:hint="eastAsia" w:ascii="Times New Roman" w:hAnsi="Times New Roman" w:eastAsia="宋体" w:cs="Times New Roman"/>
          <w:color w:val="000000"/>
          <w:sz w:val="24"/>
          <w:lang w:val="en-US" w:eastAsia="zh-CN" w:bidi="zh-CN"/>
        </w:rPr>
        <w:t>9</w:t>
      </w:r>
      <w:r>
        <w:rPr>
          <w:rFonts w:hint="default" w:ascii="Times New Roman" w:hAnsi="Times New Roman" w:eastAsia="宋体" w:cs="Times New Roman"/>
          <w:color w:val="000000"/>
          <w:sz w:val="24"/>
          <w:lang w:val="en-US" w:eastAsia="zh-CN" w:bidi="zh-CN"/>
        </w:rPr>
        <w:t>标准限值(即</w:t>
      </w:r>
      <w:r>
        <w:rPr>
          <w:rFonts w:hint="default" w:ascii="Times New Roman" w:hAnsi="Times New Roman" w:eastAsia="宋体" w:cs="Times New Roman"/>
          <w:color w:val="000000"/>
          <w:sz w:val="24"/>
          <w:lang w:val="en-GB" w:eastAsia="zh-CN" w:bidi="zh-CN"/>
        </w:rPr>
        <w:t>颗粒物</w:t>
      </w:r>
      <w:r>
        <w:rPr>
          <w:rFonts w:hint="default" w:ascii="Times New Roman" w:hAnsi="Times New Roman" w:eastAsia="宋体" w:cs="Times New Roman"/>
          <w:color w:val="000000"/>
          <w:sz w:val="24"/>
          <w:lang w:val="en-US" w:eastAsia="zh-CN" w:bidi="zh-CN"/>
        </w:rPr>
        <w:t>≤</w:t>
      </w:r>
      <w:r>
        <w:rPr>
          <w:rFonts w:hint="default" w:ascii="Times New Roman" w:hAnsi="Times New Roman" w:eastAsia="宋体" w:cs="Times New Roman"/>
          <w:color w:val="000000"/>
          <w:sz w:val="24"/>
          <w:lang w:val="en-GB" w:eastAsia="zh-CN" w:bidi="zh-CN"/>
        </w:rPr>
        <w:t>1.0mg/m</w:t>
      </w:r>
      <w:r>
        <w:rPr>
          <w:rFonts w:hint="default" w:ascii="Times New Roman" w:hAnsi="Times New Roman" w:eastAsia="宋体" w:cs="Times New Roman"/>
          <w:color w:val="000000"/>
          <w:sz w:val="24"/>
          <w:vertAlign w:val="superscript"/>
          <w:lang w:val="en-GB" w:eastAsia="zh-CN" w:bidi="zh-CN"/>
        </w:rPr>
        <w:t>3</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w:t>
      </w:r>
    </w:p>
    <w:p>
      <w:pPr>
        <w:widowControl/>
        <w:adjustRightInd w:val="0"/>
        <w:snapToGrid w:val="0"/>
        <w:spacing w:line="360" w:lineRule="auto"/>
        <w:ind w:firstLine="482"/>
        <w:rPr>
          <w:rFonts w:hint="eastAsia" w:ascii="Times New Roman" w:hAnsi="Times New Roman" w:eastAsia="宋体" w:cs="Times New Roman"/>
          <w:color w:val="000000"/>
          <w:sz w:val="24"/>
          <w:lang w:val="zh-CN" w:eastAsia="zh-CN" w:bidi="zh-CN"/>
        </w:rPr>
      </w:pPr>
      <w:r>
        <w:rPr>
          <w:rFonts w:hint="eastAsia" w:ascii="Times New Roman" w:hAnsi="Times New Roman" w:eastAsia="宋体" w:cs="Times New Roman"/>
          <w:color w:val="000000"/>
          <w:sz w:val="24"/>
          <w:lang w:val="en-US" w:eastAsia="zh-CN" w:bidi="zh-CN"/>
        </w:rPr>
        <w:t>厂区内监控点非甲烷总烃浓度范围为2.91</w:t>
      </w:r>
      <w:r>
        <w:rPr>
          <w:rFonts w:hint="default" w:ascii="Times New Roman" w:hAnsi="Times New Roman" w:eastAsia="宋体" w:cs="Times New Roman"/>
          <w:color w:val="000000"/>
          <w:sz w:val="24"/>
          <w:lang w:val="en-US" w:eastAsia="zh-CN" w:bidi="zh-CN"/>
        </w:rPr>
        <w:t>mg/m</w:t>
      </w:r>
      <w:r>
        <w:rPr>
          <w:rFonts w:hint="default" w:ascii="Times New Roman" w:hAnsi="Times New Roman" w:eastAsia="宋体" w:cs="Times New Roman"/>
          <w:color w:val="000000"/>
          <w:sz w:val="24"/>
          <w:vertAlign w:val="superscript"/>
          <w:lang w:val="en-US" w:eastAsia="zh-CN" w:bidi="zh-CN"/>
        </w:rPr>
        <w:t>3</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5.97</w:t>
      </w:r>
      <w:r>
        <w:rPr>
          <w:rFonts w:hint="default" w:ascii="Times New Roman" w:hAnsi="Times New Roman" w:eastAsia="宋体" w:cs="Times New Roman"/>
          <w:color w:val="000000"/>
          <w:sz w:val="24"/>
          <w:lang w:val="en-US" w:eastAsia="zh-CN" w:bidi="zh-CN"/>
        </w:rPr>
        <w:t>mg/m</w:t>
      </w:r>
      <w:r>
        <w:rPr>
          <w:rFonts w:hint="default" w:ascii="Times New Roman" w:hAnsi="Times New Roman" w:eastAsia="宋体" w:cs="Times New Roman"/>
          <w:color w:val="000000"/>
          <w:sz w:val="24"/>
          <w:vertAlign w:val="superscript"/>
          <w:lang w:val="en-US" w:eastAsia="zh-CN" w:bidi="zh-CN"/>
        </w:rPr>
        <w:t>3</w:t>
      </w:r>
      <w:r>
        <w:rPr>
          <w:rFonts w:hint="eastAsia" w:ascii="Times New Roman" w:hAnsi="Times New Roman" w:eastAsia="宋体" w:cs="Times New Roman"/>
          <w:color w:val="000000"/>
          <w:sz w:val="24"/>
          <w:lang w:val="en-US" w:eastAsia="zh-CN" w:bidi="zh-CN"/>
        </w:rPr>
        <w:t>，达到《挥发性有机物无组织排放控制标准》(GB37822-2019)中表A.1排放限值要求以及从严执行《印刷行业挥发性有机物排放标准》(DB35/1784-2018)表2中厂区内</w:t>
      </w:r>
      <w:r>
        <w:rPr>
          <w:rFonts w:hint="default" w:ascii="Times New Roman" w:hAnsi="Times New Roman" w:eastAsia="宋体" w:cs="Times New Roman"/>
          <w:color w:val="000000"/>
          <w:sz w:val="24"/>
          <w:lang w:val="en-US" w:eastAsia="zh-CN" w:bidi="zh-CN"/>
        </w:rPr>
        <w:t>1h监控点浓度限值即(1h平均浓度值≤</w:t>
      </w:r>
      <w:r>
        <w:rPr>
          <w:rFonts w:hint="eastAsia" w:ascii="Times New Roman" w:hAnsi="Times New Roman" w:eastAsia="宋体" w:cs="Times New Roman"/>
          <w:color w:val="000000"/>
          <w:sz w:val="24"/>
          <w:lang w:val="en-US" w:eastAsia="zh-CN" w:bidi="zh-CN"/>
        </w:rPr>
        <w:t>8</w:t>
      </w:r>
      <w:r>
        <w:rPr>
          <w:rFonts w:hint="default" w:ascii="Times New Roman" w:hAnsi="Times New Roman" w:eastAsia="宋体" w:cs="Times New Roman"/>
          <w:color w:val="000000"/>
          <w:sz w:val="24"/>
          <w:lang w:val="en-US" w:eastAsia="zh-CN" w:bidi="zh-CN"/>
        </w:rPr>
        <w:t>.0mg/m</w:t>
      </w:r>
      <w:r>
        <w:rPr>
          <w:rFonts w:hint="default" w:ascii="Times New Roman" w:hAnsi="Times New Roman" w:eastAsia="宋体" w:cs="Times New Roman"/>
          <w:color w:val="000000"/>
          <w:sz w:val="24"/>
          <w:vertAlign w:val="superscript"/>
          <w:lang w:val="en-US" w:eastAsia="zh-CN" w:bidi="zh-CN"/>
        </w:rPr>
        <w:t>3</w:t>
      </w:r>
      <w:r>
        <w:rPr>
          <w:rFonts w:hint="default" w:ascii="Times New Roman" w:hAnsi="Times New Roman" w:eastAsia="宋体" w:cs="Times New Roman"/>
          <w:color w:val="000000"/>
          <w:sz w:val="24"/>
          <w:lang w:val="en-US" w:eastAsia="zh-CN" w:bidi="zh-CN"/>
        </w:rPr>
        <w:t>)</w:t>
      </w:r>
      <w:r>
        <w:rPr>
          <w:rFonts w:hint="eastAsia" w:ascii="Times New Roman" w:hAnsi="Times New Roman" w:eastAsia="宋体" w:cs="Times New Roman"/>
          <w:color w:val="000000"/>
          <w:sz w:val="24"/>
          <w:lang w:val="en-US" w:eastAsia="zh-CN" w:bidi="zh-CN"/>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（3）噪声检测结果</w:t>
      </w:r>
    </w:p>
    <w:p>
      <w:pPr>
        <w:widowControl/>
        <w:adjustRightInd w:val="0"/>
        <w:snapToGrid w:val="0"/>
        <w:spacing w:line="360" w:lineRule="auto"/>
        <w:ind w:firstLine="482"/>
        <w:rPr>
          <w:rFonts w:hint="eastAsia" w:ascii="Times New Roman" w:hAnsi="Times New Roman" w:eastAsia="宋体" w:cs="Times New Roman"/>
          <w:color w:val="000000"/>
          <w:sz w:val="24"/>
          <w:lang w:val="en-US" w:eastAsia="zh-CN" w:bidi="zh-CN"/>
        </w:rPr>
      </w:pPr>
      <w:r>
        <w:rPr>
          <w:rFonts w:hint="eastAsia" w:ascii="Times New Roman" w:hAnsi="Times New Roman" w:eastAsia="宋体" w:cs="Times New Roman"/>
          <w:color w:val="000000"/>
          <w:sz w:val="24"/>
          <w:lang w:val="en-US" w:eastAsia="zh-CN" w:bidi="zh-CN"/>
        </w:rPr>
        <w:t>验收检测期间：布设的所有厂界噪声检测点达到批复所要求的</w:t>
      </w:r>
      <w:r>
        <w:rPr>
          <w:rFonts w:hint="eastAsia" w:ascii="Times New Roman" w:hAnsi="Times New Roman" w:eastAsia="宋体" w:cs="Times New Roman"/>
          <w:color w:val="000000"/>
          <w:sz w:val="24"/>
          <w:lang w:val="zh-CN" w:eastAsia="zh-CN" w:bidi="zh-CN"/>
        </w:rPr>
        <w:t>噪声排放执行</w:t>
      </w:r>
      <w:r>
        <w:rPr>
          <w:rFonts w:hint="eastAsia" w:ascii="Times New Roman" w:hAnsi="Times New Roman" w:eastAsia="宋体" w:cs="Times New Roman"/>
          <w:color w:val="000000"/>
          <w:sz w:val="24"/>
          <w:lang w:val="en-US" w:eastAsia="zh-CN" w:bidi="zh-CN"/>
        </w:rPr>
        <w:t>东侧靠近罗星东路的一侧厂界噪声</w:t>
      </w:r>
      <w:r>
        <w:rPr>
          <w:rFonts w:hint="default" w:ascii="Times New Roman" w:hAnsi="Times New Roman" w:eastAsia="宋体" w:cs="Times New Roman"/>
          <w:color w:val="000000"/>
          <w:sz w:val="24"/>
          <w:lang w:val="en-US" w:eastAsia="zh-CN" w:bidi="zh-CN"/>
        </w:rPr>
        <w:t>执行《工业企业厂界环境噪声排放标准》（GB12348-2008）</w:t>
      </w:r>
      <w:r>
        <w:rPr>
          <w:rFonts w:hint="eastAsia" w:ascii="Times New Roman" w:hAnsi="Times New Roman" w:eastAsia="宋体" w:cs="Times New Roman"/>
          <w:color w:val="000000"/>
          <w:sz w:val="24"/>
          <w:lang w:val="en-US" w:eastAsia="zh-CN" w:bidi="zh-CN"/>
        </w:rPr>
        <w:t>4</w:t>
      </w:r>
      <w:r>
        <w:rPr>
          <w:rFonts w:hint="default" w:ascii="Times New Roman" w:hAnsi="Times New Roman" w:eastAsia="宋体" w:cs="Times New Roman"/>
          <w:color w:val="000000"/>
          <w:sz w:val="24"/>
          <w:lang w:val="en-US" w:eastAsia="zh-CN" w:bidi="zh-CN"/>
        </w:rPr>
        <w:t>类标准</w:t>
      </w:r>
      <w:r>
        <w:rPr>
          <w:rFonts w:hint="default" w:ascii="Times New Roman" w:hAnsi="Times New Roman" w:eastAsia="宋体" w:cs="Times New Roman"/>
          <w:color w:val="000000"/>
          <w:sz w:val="24"/>
          <w:lang w:val="en-GB" w:eastAsia="zh-CN" w:bidi="zh-CN"/>
        </w:rPr>
        <w:t>(昼间≤</w:t>
      </w:r>
      <w:r>
        <w:rPr>
          <w:rFonts w:hint="eastAsia" w:ascii="Times New Roman" w:hAnsi="Times New Roman" w:eastAsia="宋体" w:cs="Times New Roman"/>
          <w:color w:val="000000"/>
          <w:sz w:val="24"/>
          <w:lang w:val="en-US" w:eastAsia="zh-CN" w:bidi="zh-CN"/>
        </w:rPr>
        <w:t>70</w:t>
      </w:r>
      <w:r>
        <w:rPr>
          <w:rFonts w:hint="default" w:ascii="Times New Roman" w:hAnsi="Times New Roman" w:eastAsia="宋体" w:cs="Times New Roman"/>
          <w:color w:val="000000"/>
          <w:sz w:val="24"/>
          <w:lang w:val="en-GB" w:eastAsia="zh-CN" w:bidi="zh-CN"/>
        </w:rPr>
        <w:t>dB(A)</w:t>
      </w:r>
      <w:r>
        <w:rPr>
          <w:rFonts w:hint="eastAsia" w:ascii="Times New Roman" w:hAnsi="Times New Roman" w:eastAsia="宋体" w:cs="Times New Roman"/>
          <w:color w:val="000000"/>
          <w:sz w:val="24"/>
          <w:lang w:val="en-GB" w:eastAsia="zh-CN" w:bidi="zh-CN"/>
        </w:rPr>
        <w:t>，夜间≤</w:t>
      </w:r>
      <w:r>
        <w:rPr>
          <w:rFonts w:hint="eastAsia" w:ascii="Times New Roman" w:hAnsi="Times New Roman" w:eastAsia="宋体" w:cs="Times New Roman"/>
          <w:color w:val="000000"/>
          <w:sz w:val="24"/>
          <w:lang w:val="en-US" w:eastAsia="zh-CN" w:bidi="zh-CN"/>
        </w:rPr>
        <w:t>55dB（A）</w:t>
      </w:r>
      <w:r>
        <w:rPr>
          <w:rFonts w:hint="default" w:ascii="Times New Roman" w:hAnsi="Times New Roman" w:eastAsia="宋体" w:cs="Times New Roman"/>
          <w:color w:val="000000"/>
          <w:sz w:val="24"/>
          <w:lang w:val="en-GB" w:eastAsia="zh-CN" w:bidi="zh-CN"/>
        </w:rPr>
        <w:t>)</w:t>
      </w:r>
      <w:r>
        <w:rPr>
          <w:rFonts w:hint="eastAsia" w:ascii="Times New Roman" w:hAnsi="Times New Roman" w:eastAsia="宋体" w:cs="Times New Roman"/>
          <w:color w:val="000000"/>
          <w:sz w:val="24"/>
          <w:lang w:val="en-US" w:eastAsia="zh-CN" w:bidi="zh-CN"/>
        </w:rPr>
        <w:t>，其余各侧执行</w:t>
      </w:r>
      <w:r>
        <w:rPr>
          <w:rFonts w:hint="default" w:ascii="Times New Roman" w:hAnsi="Times New Roman" w:eastAsia="宋体" w:cs="Times New Roman"/>
          <w:color w:val="000000"/>
          <w:sz w:val="24"/>
          <w:lang w:val="en-US" w:eastAsia="zh-CN" w:bidi="zh-CN"/>
        </w:rPr>
        <w:t>《工业企业厂界环境噪声排放标准》（GB12348-2008）</w:t>
      </w:r>
      <w:r>
        <w:rPr>
          <w:rFonts w:hint="eastAsia" w:ascii="Times New Roman" w:hAnsi="Times New Roman" w:eastAsia="宋体" w:cs="Times New Roman"/>
          <w:color w:val="000000"/>
          <w:sz w:val="24"/>
          <w:lang w:val="en-US" w:eastAsia="zh-CN" w:bidi="zh-CN"/>
        </w:rPr>
        <w:t>3</w:t>
      </w:r>
      <w:r>
        <w:rPr>
          <w:rFonts w:hint="default" w:ascii="Times New Roman" w:hAnsi="Times New Roman" w:eastAsia="宋体" w:cs="Times New Roman"/>
          <w:color w:val="000000"/>
          <w:sz w:val="24"/>
          <w:lang w:val="en-US" w:eastAsia="zh-CN" w:bidi="zh-CN"/>
        </w:rPr>
        <w:t>类标准</w:t>
      </w:r>
      <w:r>
        <w:rPr>
          <w:rFonts w:hint="default" w:ascii="Times New Roman" w:hAnsi="Times New Roman" w:eastAsia="宋体" w:cs="Times New Roman"/>
          <w:color w:val="000000"/>
          <w:sz w:val="24"/>
          <w:lang w:val="en-GB" w:eastAsia="zh-CN" w:bidi="zh-CN"/>
        </w:rPr>
        <w:t>(昼间≤</w:t>
      </w:r>
      <w:r>
        <w:rPr>
          <w:rFonts w:hint="default" w:ascii="Times New Roman" w:hAnsi="Times New Roman" w:eastAsia="宋体" w:cs="Times New Roman"/>
          <w:color w:val="000000"/>
          <w:sz w:val="24"/>
          <w:lang w:val="en-US" w:eastAsia="zh-CN" w:bidi="zh-CN"/>
        </w:rPr>
        <w:t>6</w:t>
      </w:r>
      <w:r>
        <w:rPr>
          <w:rFonts w:hint="eastAsia" w:ascii="Times New Roman" w:hAnsi="Times New Roman" w:eastAsia="宋体" w:cs="Times New Roman"/>
          <w:color w:val="000000"/>
          <w:sz w:val="24"/>
          <w:lang w:val="en-US" w:eastAsia="zh-CN" w:bidi="zh-CN"/>
        </w:rPr>
        <w:t>5</w:t>
      </w:r>
      <w:r>
        <w:rPr>
          <w:rFonts w:hint="default" w:ascii="Times New Roman" w:hAnsi="Times New Roman" w:eastAsia="宋体" w:cs="Times New Roman"/>
          <w:color w:val="000000"/>
          <w:sz w:val="24"/>
          <w:lang w:val="en-GB" w:eastAsia="zh-CN" w:bidi="zh-CN"/>
        </w:rPr>
        <w:t>dB(A)</w:t>
      </w:r>
      <w:r>
        <w:rPr>
          <w:rFonts w:hint="eastAsia" w:ascii="Times New Roman" w:hAnsi="Times New Roman" w:eastAsia="宋体" w:cs="Times New Roman"/>
          <w:color w:val="000000"/>
          <w:sz w:val="24"/>
          <w:lang w:val="en-GB" w:eastAsia="zh-CN" w:bidi="zh-CN"/>
        </w:rPr>
        <w:t>，夜间≤</w:t>
      </w:r>
      <w:r>
        <w:rPr>
          <w:rFonts w:hint="eastAsia" w:ascii="Times New Roman" w:hAnsi="Times New Roman" w:eastAsia="宋体" w:cs="Times New Roman"/>
          <w:color w:val="000000"/>
          <w:sz w:val="24"/>
          <w:lang w:val="en-US" w:eastAsia="zh-CN" w:bidi="zh-CN"/>
        </w:rPr>
        <w:t>55dB（A）</w:t>
      </w:r>
      <w:r>
        <w:rPr>
          <w:rFonts w:hint="default" w:ascii="Times New Roman" w:hAnsi="Times New Roman" w:eastAsia="宋体" w:cs="Times New Roman"/>
          <w:color w:val="000000"/>
          <w:sz w:val="24"/>
          <w:lang w:val="en-GB" w:eastAsia="zh-CN" w:bidi="zh-CN"/>
        </w:rPr>
        <w:t>)</w:t>
      </w:r>
      <w:r>
        <w:rPr>
          <w:rFonts w:hint="eastAsia" w:ascii="Times New Roman" w:hAnsi="Times New Roman" w:eastAsia="宋体" w:cs="Times New Roman"/>
          <w:color w:val="000000"/>
          <w:sz w:val="24"/>
          <w:lang w:val="en-US" w:eastAsia="zh-CN" w:bidi="zh-CN"/>
        </w:rPr>
        <w:t>。检测数据如下：东侧的噪声昼间Leq值为57.7dB，夜间昼间Leq值为48.2dB；西侧的噪声昼间Leq值为58.5dB，噪声夜间Leq值为47.5dB；南侧的噪声昼间Leq值为57.1dB，噪声夜间Leq值为47.5dB；北侧的噪声昼间Leq值为57.0dB，噪声夜间Leq值为46.7dB。</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总量</w:t>
      </w:r>
    </w:p>
    <w:p>
      <w:pPr>
        <w:widowControl/>
        <w:adjustRightInd w:val="0"/>
        <w:snapToGrid w:val="0"/>
        <w:spacing w:line="360" w:lineRule="auto"/>
        <w:ind w:firstLine="482"/>
        <w:rPr>
          <w:rFonts w:hint="default"/>
          <w:lang w:val="en-US" w:eastAsia="zh-CN"/>
        </w:rPr>
      </w:pPr>
      <w:r>
        <w:rPr>
          <w:rFonts w:hint="eastAsia" w:ascii="Times New Roman" w:hAnsi="Times New Roman" w:eastAsia="宋体" w:cs="Times New Roman"/>
          <w:color w:val="000000"/>
          <w:sz w:val="24"/>
          <w:lang w:val="en-US" w:eastAsia="zh-CN" w:bidi="zh-CN"/>
        </w:rPr>
        <w:t>根据业主提供的资料，项目设备工作日常为8h，年工作250天，则核算项目有机废气年排放量为：0.27</w:t>
      </w:r>
      <w:r>
        <w:rPr>
          <w:rFonts w:hint="default" w:ascii="Times New Roman" w:hAnsi="Times New Roman" w:eastAsia="宋体" w:cs="Times New Roman"/>
          <w:color w:val="000000"/>
          <w:sz w:val="24"/>
          <w:lang w:val="en-US" w:eastAsia="zh-CN" w:bidi="zh-CN"/>
        </w:rPr>
        <w:t>kg/h</w:t>
      </w:r>
      <w:r>
        <w:rPr>
          <w:rFonts w:hint="eastAsia" w:ascii="Times New Roman" w:hAnsi="Times New Roman" w:eastAsia="宋体" w:cs="Times New Roman"/>
          <w:color w:val="000000"/>
          <w:sz w:val="24"/>
          <w:lang w:val="en-US" w:eastAsia="zh-CN" w:bidi="zh-CN"/>
        </w:rPr>
        <w:t>*（8*250）h=0.54t/a则项目厂区内VOCs排放总量为0.54t/a，达到批复所要求的VOCs排放总量不超过0.6434吨/年。</w:t>
      </w:r>
    </w:p>
    <w:p>
      <w:pPr>
        <w:spacing w:line="360" w:lineRule="auto"/>
        <w:ind w:firstLine="482" w:firstLineChars="200"/>
        <w:rPr>
          <w:rFonts w:ascii="宋体" w:hAnsi="宋体" w:cs="宋体"/>
          <w:b/>
          <w:bCs/>
          <w:sz w:val="24"/>
        </w:rPr>
      </w:pPr>
      <w:r>
        <w:rPr>
          <w:rFonts w:hint="eastAsia" w:ascii="宋体" w:hAnsi="宋体" w:cs="宋体"/>
          <w:b/>
          <w:bCs/>
          <w:sz w:val="24"/>
          <w:lang w:eastAsia="zh-CN"/>
        </w:rPr>
        <w:t>六、</w:t>
      </w:r>
      <w:r>
        <w:rPr>
          <w:rFonts w:hint="eastAsia" w:ascii="宋体" w:hAnsi="宋体" w:cs="宋体"/>
          <w:b/>
          <w:bCs/>
          <w:sz w:val="24"/>
        </w:rPr>
        <w:t>验收结论</w:t>
      </w:r>
    </w:p>
    <w:p>
      <w:pPr>
        <w:widowControl/>
        <w:spacing w:line="360" w:lineRule="auto"/>
        <w:ind w:firstLine="480" w:firstLineChars="200"/>
        <w:jc w:val="left"/>
        <w:rPr>
          <w:rFonts w:ascii="Times New Roman" w:hAnsi="Times New Roman"/>
          <w:sz w:val="24"/>
        </w:rPr>
      </w:pPr>
      <w:r>
        <w:rPr>
          <w:rFonts w:ascii="Times New Roman" w:hAnsi="Times New Roman"/>
          <w:sz w:val="24"/>
        </w:rPr>
        <w:t>经现场检查、审阅有关资料和认真讨论后，验收组认为项目基本落实了环评文件及批复要求，环保设施运行基本正常，主要污染物实现达标排放，不存在《建设项目</w:t>
      </w:r>
      <w:r>
        <w:rPr>
          <w:rFonts w:hint="eastAsia" w:ascii="Times New Roman" w:hAnsi="Times New Roman"/>
          <w:sz w:val="24"/>
          <w:lang w:eastAsia="zh-CN"/>
        </w:rPr>
        <w:t>竣工</w:t>
      </w:r>
      <w:r>
        <w:rPr>
          <w:rFonts w:ascii="Times New Roman" w:hAnsi="Times New Roman"/>
          <w:sz w:val="24"/>
        </w:rPr>
        <w:t>环境保护验收暂行办法》第八条所列</w:t>
      </w:r>
      <w:r>
        <w:rPr>
          <w:rFonts w:hint="eastAsia" w:ascii="Times New Roman" w:hAnsi="Times New Roman"/>
          <w:sz w:val="24"/>
        </w:rPr>
        <w:t>九种</w:t>
      </w:r>
      <w:r>
        <w:rPr>
          <w:rFonts w:ascii="Times New Roman" w:hAnsi="Times New Roman"/>
          <w:sz w:val="24"/>
        </w:rPr>
        <w:t>验收不合格的情形，基本符合验收条件，同意项目通过</w:t>
      </w:r>
      <w:r>
        <w:rPr>
          <w:rFonts w:hint="eastAsia" w:ascii="Times New Roman" w:hAnsi="Times New Roman"/>
          <w:sz w:val="24"/>
          <w:lang w:eastAsia="zh-CN"/>
        </w:rPr>
        <w:t>竣工</w:t>
      </w:r>
      <w:r>
        <w:rPr>
          <w:rFonts w:ascii="Times New Roman" w:hAnsi="Times New Roman"/>
          <w:sz w:val="24"/>
        </w:rPr>
        <w:t>环保验收。</w:t>
      </w:r>
    </w:p>
    <w:p>
      <w:pPr>
        <w:widowControl/>
        <w:spacing w:line="360" w:lineRule="auto"/>
        <w:ind w:firstLine="482" w:firstLineChars="200"/>
        <w:jc w:val="left"/>
        <w:rPr>
          <w:rFonts w:ascii="Times New Roman" w:hAnsi="Times New Roman"/>
          <w:b/>
          <w:bCs/>
          <w:sz w:val="24"/>
        </w:rPr>
      </w:pPr>
    </w:p>
    <w:p>
      <w:pPr>
        <w:widowControl/>
        <w:spacing w:line="360" w:lineRule="auto"/>
        <w:ind w:firstLine="482" w:firstLineChars="200"/>
        <w:jc w:val="left"/>
        <w:rPr>
          <w:rFonts w:ascii="Times New Roman" w:hAnsi="Times New Roman"/>
          <w:b/>
          <w:bCs/>
          <w:sz w:val="24"/>
        </w:rPr>
      </w:pPr>
    </w:p>
    <w:p>
      <w:pPr>
        <w:widowControl/>
        <w:spacing w:line="360" w:lineRule="auto"/>
        <w:ind w:firstLine="482" w:firstLineChars="200"/>
        <w:jc w:val="left"/>
        <w:rPr>
          <w:rFonts w:ascii="Times New Roman" w:hAnsi="Times New Roman"/>
          <w:b/>
          <w:bCs/>
          <w:sz w:val="24"/>
        </w:rPr>
      </w:pPr>
    </w:p>
    <w:p>
      <w:pPr>
        <w:widowControl/>
        <w:spacing w:line="360" w:lineRule="auto"/>
        <w:ind w:firstLine="482" w:firstLineChars="200"/>
        <w:jc w:val="left"/>
        <w:rPr>
          <w:rFonts w:ascii="Times New Roman" w:hAnsi="Times New Roman"/>
          <w:b/>
          <w:bCs/>
          <w:sz w:val="24"/>
        </w:rPr>
      </w:pPr>
    </w:p>
    <w:p>
      <w:pPr>
        <w:widowControl/>
        <w:spacing w:line="360" w:lineRule="auto"/>
        <w:ind w:firstLine="482" w:firstLineChars="200"/>
        <w:jc w:val="left"/>
        <w:rPr>
          <w:rFonts w:ascii="Times New Roman" w:hAnsi="Times New Roman"/>
          <w:b/>
          <w:bCs/>
          <w:sz w:val="24"/>
        </w:rPr>
      </w:pPr>
    </w:p>
    <w:p>
      <w:pPr>
        <w:widowControl/>
        <w:spacing w:line="360" w:lineRule="auto"/>
        <w:ind w:firstLine="482" w:firstLineChars="200"/>
        <w:jc w:val="left"/>
        <w:rPr>
          <w:rFonts w:ascii="Times New Roman" w:hAnsi="Times New Roman"/>
          <w:b/>
          <w:bCs/>
          <w:sz w:val="24"/>
        </w:rPr>
      </w:pPr>
      <w:r>
        <w:rPr>
          <w:rFonts w:ascii="Times New Roman" w:hAnsi="Times New Roman"/>
          <w:b/>
          <w:bCs/>
          <w:sz w:val="24"/>
        </w:rPr>
        <w:t>七、后续要求和建议</w:t>
      </w:r>
    </w:p>
    <w:p>
      <w:pPr>
        <w:widowControl/>
        <w:spacing w:line="360" w:lineRule="auto"/>
        <w:ind w:firstLine="480" w:firstLineChars="200"/>
        <w:jc w:val="left"/>
        <w:rPr>
          <w:rFonts w:hint="eastAsia" w:ascii="Times New Roman" w:hAnsi="Times New Roman" w:eastAsia="宋体" w:cs="Times New Roman"/>
          <w:bCs/>
          <w:kern w:val="0"/>
          <w:sz w:val="24"/>
        </w:rPr>
      </w:pPr>
      <w:r>
        <w:rPr>
          <w:rFonts w:hint="eastAsia" w:ascii="Times New Roman" w:hAnsi="Times New Roman" w:eastAsia="宋体" w:cs="Times New Roman"/>
          <w:bCs/>
          <w:kern w:val="0"/>
          <w:sz w:val="24"/>
          <w:lang w:val="en-US" w:eastAsia="zh-CN"/>
        </w:rPr>
        <w:t>1</w:t>
      </w:r>
      <w:r>
        <w:rPr>
          <w:rFonts w:hint="eastAsia" w:ascii="Times New Roman" w:hAnsi="Times New Roman" w:eastAsia="宋体" w:cs="Times New Roman"/>
          <w:bCs/>
          <w:kern w:val="0"/>
          <w:sz w:val="24"/>
        </w:rPr>
        <w:t>、</w:t>
      </w:r>
      <w:r>
        <w:rPr>
          <w:rFonts w:hint="eastAsia" w:ascii="Times New Roman" w:hAnsi="Times New Roman" w:eastAsia="宋体" w:cs="Times New Roman"/>
          <w:bCs/>
          <w:kern w:val="0"/>
          <w:sz w:val="24"/>
          <w:lang w:eastAsia="zh-CN"/>
        </w:rPr>
        <w:t>加强污染防治设施的运行管理，确保污染物达标排放</w:t>
      </w:r>
      <w:r>
        <w:rPr>
          <w:rFonts w:hint="eastAsia" w:ascii="Times New Roman" w:hAnsi="Times New Roman" w:eastAsia="宋体" w:cs="Times New Roman"/>
          <w:bCs/>
          <w:kern w:val="0"/>
          <w:sz w:val="24"/>
        </w:rPr>
        <w:t>。</w:t>
      </w:r>
    </w:p>
    <w:p>
      <w:pPr>
        <w:widowControl/>
        <w:spacing w:line="360" w:lineRule="auto"/>
        <w:ind w:firstLine="480" w:firstLineChars="200"/>
        <w:jc w:val="left"/>
        <w:rPr>
          <w:rFonts w:hAnsi="宋体" w:cs="Times New Roman"/>
          <w:b/>
          <w:bCs/>
          <w:kern w:val="0"/>
        </w:rPr>
      </w:pPr>
      <w:r>
        <w:rPr>
          <w:rFonts w:ascii="Times New Roman" w:hAnsi="Times New Roman"/>
          <w:bCs/>
          <w:kern w:val="0"/>
          <w:sz w:val="24"/>
        </w:rPr>
        <w:t>附：《</w:t>
      </w:r>
      <w:r>
        <w:rPr>
          <w:rFonts w:hint="eastAsia" w:ascii="Times New Roman" w:hAnsi="Times New Roman"/>
          <w:sz w:val="24"/>
          <w:lang w:eastAsia="zh-CN"/>
        </w:rPr>
        <w:t>福建佳塑环保材料有限公司扩建项目</w:t>
      </w:r>
      <w:r>
        <w:rPr>
          <w:rFonts w:ascii="Times New Roman" w:hAnsi="Times New Roman"/>
          <w:bCs/>
          <w:kern w:val="0"/>
          <w:sz w:val="24"/>
        </w:rPr>
        <w:t>》</w:t>
      </w:r>
      <w:r>
        <w:rPr>
          <w:rFonts w:hint="eastAsia" w:ascii="Times New Roman" w:hAnsi="Times New Roman"/>
          <w:bCs/>
          <w:kern w:val="0"/>
          <w:sz w:val="24"/>
          <w:lang w:eastAsia="zh-CN"/>
        </w:rPr>
        <w:t>竣工</w:t>
      </w:r>
      <w:r>
        <w:rPr>
          <w:rFonts w:ascii="Times New Roman" w:hAnsi="Times New Roman"/>
          <w:bCs/>
          <w:kern w:val="0"/>
          <w:sz w:val="24"/>
        </w:rPr>
        <w:t>环境保护验收组成员名单</w:t>
      </w:r>
    </w:p>
    <w:p>
      <w:pPr>
        <w:pStyle w:val="26"/>
        <w:spacing w:before="0" w:beforeAutospacing="0" w:after="0" w:afterAutospacing="0" w:line="360" w:lineRule="auto"/>
        <w:ind w:firstLine="482" w:firstLineChars="200"/>
        <w:jc w:val="right"/>
        <w:outlineLvl w:val="0"/>
        <w:rPr>
          <w:rFonts w:hint="eastAsia" w:hAnsi="宋体" w:cs="Times New Roman"/>
          <w:b/>
          <w:bCs/>
          <w:kern w:val="0"/>
          <w:lang w:eastAsia="zh-CN"/>
        </w:rPr>
      </w:pPr>
    </w:p>
    <w:p>
      <w:pPr>
        <w:pStyle w:val="26"/>
        <w:spacing w:before="0" w:beforeAutospacing="0" w:after="0" w:afterAutospacing="0" w:line="360" w:lineRule="auto"/>
        <w:ind w:firstLine="482" w:firstLineChars="200"/>
        <w:jc w:val="right"/>
        <w:outlineLvl w:val="0"/>
        <w:rPr>
          <w:rFonts w:hint="eastAsia" w:hAnsi="宋体" w:cs="Times New Roman"/>
          <w:b/>
          <w:bCs/>
          <w:kern w:val="0"/>
          <w:lang w:eastAsia="zh-CN"/>
        </w:rPr>
      </w:pPr>
    </w:p>
    <w:p>
      <w:pPr>
        <w:pStyle w:val="26"/>
        <w:spacing w:before="0" w:beforeAutospacing="0" w:after="0" w:afterAutospacing="0" w:line="360" w:lineRule="auto"/>
        <w:ind w:firstLine="482" w:firstLineChars="200"/>
        <w:jc w:val="right"/>
        <w:outlineLvl w:val="0"/>
        <w:rPr>
          <w:rFonts w:hint="eastAsia" w:hAnsi="宋体" w:cs="Times New Roman"/>
          <w:b/>
          <w:bCs/>
          <w:kern w:val="0"/>
          <w:lang w:eastAsia="zh-CN"/>
        </w:rPr>
      </w:pPr>
    </w:p>
    <w:p>
      <w:pPr>
        <w:pStyle w:val="26"/>
        <w:spacing w:before="0" w:beforeAutospacing="0" w:after="0" w:afterAutospacing="0" w:line="360" w:lineRule="auto"/>
        <w:ind w:firstLine="482" w:firstLineChars="200"/>
        <w:jc w:val="right"/>
        <w:outlineLvl w:val="0"/>
        <w:rPr>
          <w:rFonts w:hint="eastAsia" w:hAnsi="宋体" w:eastAsia="宋体" w:cs="Times New Roman"/>
          <w:b/>
          <w:bCs/>
          <w:kern w:val="0"/>
          <w:lang w:eastAsia="zh-CN"/>
        </w:rPr>
      </w:pPr>
      <w:r>
        <w:rPr>
          <w:rFonts w:hint="eastAsia" w:hAnsi="宋体" w:cs="Times New Roman"/>
          <w:b/>
          <w:bCs/>
          <w:kern w:val="0"/>
          <w:lang w:eastAsia="zh-CN"/>
        </w:rPr>
        <w:t>福建佳塑环保材料有限公司</w:t>
      </w:r>
    </w:p>
    <w:p>
      <w:pPr>
        <w:pStyle w:val="26"/>
        <w:spacing w:before="0" w:beforeAutospacing="0" w:after="0" w:afterAutospacing="0" w:line="360" w:lineRule="auto"/>
        <w:ind w:firstLine="482" w:firstLineChars="200"/>
        <w:jc w:val="right"/>
        <w:outlineLvl w:val="0"/>
        <w:rPr>
          <w:rFonts w:hAnsi="宋体" w:cs="Times New Roman"/>
          <w:b/>
          <w:bCs/>
          <w:color w:val="auto"/>
          <w:kern w:val="0"/>
        </w:rPr>
      </w:pPr>
      <w:r>
        <w:rPr>
          <w:rFonts w:hAnsi="宋体" w:cs="Times New Roman"/>
          <w:b/>
          <w:bCs/>
          <w:color w:val="auto"/>
          <w:kern w:val="0"/>
        </w:rPr>
        <w:t>20</w:t>
      </w:r>
      <w:r>
        <w:rPr>
          <w:rFonts w:hint="eastAsia" w:hAnsi="宋体" w:cs="Times New Roman"/>
          <w:b/>
          <w:bCs/>
          <w:color w:val="auto"/>
          <w:kern w:val="0"/>
        </w:rPr>
        <w:t>2</w:t>
      </w:r>
      <w:r>
        <w:rPr>
          <w:rFonts w:hint="eastAsia" w:hAnsi="宋体" w:cs="Times New Roman"/>
          <w:b/>
          <w:bCs/>
          <w:color w:val="auto"/>
          <w:kern w:val="0"/>
          <w:lang w:val="en-US" w:eastAsia="zh-CN"/>
        </w:rPr>
        <w:t>3</w:t>
      </w:r>
      <w:r>
        <w:rPr>
          <w:rFonts w:hAnsi="宋体" w:cs="Times New Roman"/>
          <w:b/>
          <w:bCs/>
          <w:color w:val="auto"/>
          <w:kern w:val="0"/>
        </w:rPr>
        <w:t>年</w:t>
      </w:r>
      <w:bookmarkStart w:id="0" w:name="_GoBack"/>
      <w:bookmarkEnd w:id="0"/>
      <w:r>
        <w:rPr>
          <w:rFonts w:hint="eastAsia" w:hAnsi="宋体" w:cs="Times New Roman"/>
          <w:b/>
          <w:bCs/>
          <w:color w:val="auto"/>
          <w:kern w:val="0"/>
          <w:lang w:val="en-US" w:eastAsia="zh-CN"/>
        </w:rPr>
        <w:t>2</w:t>
      </w:r>
      <w:r>
        <w:rPr>
          <w:rFonts w:hAnsi="宋体" w:cs="Times New Roman"/>
          <w:b/>
          <w:bCs/>
          <w:color w:val="auto"/>
          <w:kern w:val="0"/>
        </w:rPr>
        <w:t>月</w:t>
      </w:r>
      <w:r>
        <w:rPr>
          <w:rFonts w:hint="eastAsia" w:hAnsi="宋体" w:cs="Times New Roman"/>
          <w:b/>
          <w:bCs/>
          <w:color w:val="auto"/>
          <w:kern w:val="0"/>
          <w:lang w:val="en-US" w:eastAsia="zh-CN"/>
        </w:rPr>
        <w:t>21</w:t>
      </w:r>
      <w:r>
        <w:rPr>
          <w:rFonts w:hAnsi="宋体" w:cs="Times New Roman"/>
          <w:b/>
          <w:bCs/>
          <w:color w:val="auto"/>
          <w:kern w:val="0"/>
        </w:rPr>
        <w:t>日</w:t>
      </w:r>
    </w:p>
    <w:p>
      <w:pPr>
        <w:pStyle w:val="26"/>
        <w:spacing w:before="0" w:beforeAutospacing="0" w:after="0" w:afterAutospacing="0" w:line="360" w:lineRule="auto"/>
        <w:ind w:firstLine="480" w:firstLineChars="200"/>
        <w:jc w:val="right"/>
        <w:outlineLvl w:val="0"/>
        <w:rPr>
          <w:rFonts w:ascii="Times New Roman" w:cs="Times New Roman"/>
          <w:bCs/>
          <w:color w:val="auto"/>
          <w:kern w:val="0"/>
        </w:rPr>
        <w:sectPr>
          <w:pgSz w:w="11906" w:h="16838"/>
          <w:pgMar w:top="1440" w:right="146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32"/>
        <w:shd w:val="clear" w:color="auto" w:fill="auto"/>
        <w:adjustRightInd/>
        <w:snapToGrid/>
        <w:spacing w:before="0" w:afterLines="100" w:line="360" w:lineRule="auto"/>
        <w:ind w:firstLine="0"/>
        <w:jc w:val="center"/>
        <w:rPr>
          <w:rFonts w:hint="eastAsia" w:ascii="黑体" w:hAnsi="宋体" w:eastAsia="黑体" w:cs="宋体"/>
          <w:b/>
          <w:kern w:val="1"/>
          <w:sz w:val="32"/>
          <w:szCs w:val="32"/>
          <w:lang w:val="en-US" w:eastAsia="zh-CN" w:bidi="ar-SA"/>
        </w:rPr>
      </w:pPr>
      <w:r>
        <w:rPr>
          <w:rFonts w:hint="eastAsia" w:ascii="黑体" w:hAnsi="宋体" w:eastAsia="黑体" w:cs="宋体"/>
          <w:b/>
          <w:kern w:val="1"/>
          <w:sz w:val="32"/>
          <w:szCs w:val="32"/>
          <w:lang w:val="en-US" w:eastAsia="zh-CN" w:bidi="ar-SA"/>
        </w:rPr>
        <w:t>福建佳塑环保材料有限公司扩建项目竣工环境保护验收会议人员签到单</w:t>
      </w:r>
    </w:p>
    <w:tbl>
      <w:tblPr>
        <w:tblStyle w:val="19"/>
        <w:tblW w:w="0" w:type="auto"/>
        <w:jc w:val="center"/>
        <w:tblLayout w:type="fixed"/>
        <w:tblCellMar>
          <w:top w:w="0" w:type="dxa"/>
          <w:left w:w="108" w:type="dxa"/>
          <w:bottom w:w="0" w:type="dxa"/>
          <w:right w:w="108" w:type="dxa"/>
        </w:tblCellMar>
      </w:tblPr>
      <w:tblGrid>
        <w:gridCol w:w="1559"/>
        <w:gridCol w:w="4483"/>
        <w:gridCol w:w="2071"/>
        <w:gridCol w:w="2376"/>
        <w:gridCol w:w="1648"/>
      </w:tblGrid>
      <w:tr>
        <w:tblPrEx>
          <w:tblCellMar>
            <w:top w:w="0" w:type="dxa"/>
            <w:left w:w="108" w:type="dxa"/>
            <w:bottom w:w="0" w:type="dxa"/>
            <w:right w:w="108" w:type="dxa"/>
          </w:tblCellMar>
        </w:tblPrEx>
        <w:trPr>
          <w:trHeight w:val="496" w:hRule="atLeast"/>
          <w:jc w:val="center"/>
        </w:trPr>
        <w:tc>
          <w:tcPr>
            <w:tcW w:w="1559" w:type="dxa"/>
            <w:tcBorders>
              <w:top w:val="single" w:color="000000" w:sz="8" w:space="0"/>
              <w:left w:val="single" w:color="000000" w:sz="8" w:space="0"/>
              <w:bottom w:val="single" w:color="000000" w:sz="4" w:space="0"/>
            </w:tcBorders>
            <w:noWrap w:val="0"/>
            <w:vAlign w:val="center"/>
          </w:tcPr>
          <w:p>
            <w:pPr>
              <w:snapToGrid w:val="0"/>
              <w:spacing w:line="276" w:lineRule="auto"/>
              <w:ind w:firstLine="280" w:firstLineChars="100"/>
              <w:rPr>
                <w:rFonts w:hint="eastAsia" w:ascii="宋体" w:hAnsi="宋体" w:eastAsia="宋体" w:cs="宋体"/>
                <w:sz w:val="28"/>
                <w:szCs w:val="28"/>
              </w:rPr>
            </w:pPr>
            <w:r>
              <w:rPr>
                <w:rFonts w:hint="eastAsia" w:ascii="宋体" w:hAnsi="宋体" w:eastAsia="宋体" w:cs="宋体"/>
                <w:sz w:val="28"/>
                <w:szCs w:val="28"/>
              </w:rPr>
              <w:t>姓名</w:t>
            </w:r>
          </w:p>
        </w:tc>
        <w:tc>
          <w:tcPr>
            <w:tcW w:w="4483" w:type="dxa"/>
            <w:tcBorders>
              <w:top w:val="single" w:color="000000" w:sz="8" w:space="0"/>
              <w:left w:val="single" w:color="000000" w:sz="4" w:space="0"/>
              <w:bottom w:val="single" w:color="000000" w:sz="4" w:space="0"/>
            </w:tcBorders>
            <w:noWrap w:val="0"/>
            <w:vAlign w:val="center"/>
          </w:tcPr>
          <w:p>
            <w:pPr>
              <w:snapToGrid w:val="0"/>
              <w:spacing w:line="276" w:lineRule="auto"/>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单位</w:t>
            </w:r>
            <w:r>
              <w:rPr>
                <w:rFonts w:hint="eastAsia" w:ascii="宋体" w:hAnsi="宋体" w:eastAsia="宋体" w:cs="宋体"/>
                <w:sz w:val="28"/>
                <w:szCs w:val="28"/>
                <w:lang w:eastAsia="zh-CN"/>
              </w:rPr>
              <w:t>名称</w:t>
            </w:r>
          </w:p>
        </w:tc>
        <w:tc>
          <w:tcPr>
            <w:tcW w:w="2071" w:type="dxa"/>
            <w:tcBorders>
              <w:top w:val="single" w:color="000000" w:sz="8" w:space="0"/>
              <w:left w:val="single" w:color="000000" w:sz="4" w:space="0"/>
              <w:bottom w:val="single" w:color="000000" w:sz="4" w:space="0"/>
            </w:tcBorders>
            <w:noWrap w:val="0"/>
            <w:vAlign w:val="center"/>
          </w:tcPr>
          <w:p>
            <w:pPr>
              <w:snapToGrid w:val="0"/>
              <w:spacing w:line="276" w:lineRule="auto"/>
              <w:jc w:val="center"/>
              <w:rPr>
                <w:rFonts w:hint="eastAsia" w:ascii="宋体" w:hAnsi="宋体" w:eastAsia="宋体" w:cs="宋体"/>
                <w:sz w:val="28"/>
                <w:szCs w:val="28"/>
                <w:lang w:eastAsia="zh-CN"/>
              </w:rPr>
            </w:pPr>
            <w:r>
              <w:rPr>
                <w:rFonts w:hint="eastAsia" w:ascii="宋体" w:hAnsi="宋体" w:eastAsia="宋体" w:cs="宋体"/>
                <w:sz w:val="28"/>
                <w:szCs w:val="28"/>
              </w:rPr>
              <w:t>职务</w:t>
            </w:r>
            <w:r>
              <w:rPr>
                <w:rFonts w:hint="eastAsia" w:ascii="宋体" w:hAnsi="宋体" w:eastAsia="宋体" w:cs="宋体"/>
                <w:sz w:val="28"/>
                <w:szCs w:val="28"/>
                <w:lang w:eastAsia="zh-CN"/>
              </w:rPr>
              <w:t>/职称</w:t>
            </w:r>
          </w:p>
        </w:tc>
        <w:tc>
          <w:tcPr>
            <w:tcW w:w="2376" w:type="dxa"/>
            <w:tcBorders>
              <w:top w:val="single" w:color="000000" w:sz="8" w:space="0"/>
              <w:left w:val="single" w:color="000000" w:sz="4" w:space="0"/>
              <w:bottom w:val="single" w:color="000000" w:sz="4" w:space="0"/>
              <w:right w:val="single" w:color="auto" w:sz="4" w:space="0"/>
            </w:tcBorders>
            <w:noWrap w:val="0"/>
            <w:vAlign w:val="center"/>
          </w:tcPr>
          <w:p>
            <w:pPr>
              <w:snapToGrid w:val="0"/>
              <w:spacing w:line="276"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tc>
        <w:tc>
          <w:tcPr>
            <w:tcW w:w="1648" w:type="dxa"/>
            <w:tcBorders>
              <w:top w:val="single" w:color="000000" w:sz="8" w:space="0"/>
              <w:left w:val="single" w:color="000000" w:sz="4" w:space="0"/>
              <w:bottom w:val="single" w:color="000000" w:sz="4" w:space="0"/>
              <w:right w:val="single" w:color="000000" w:sz="8" w:space="0"/>
            </w:tcBorders>
            <w:noWrap w:val="0"/>
            <w:vAlign w:val="center"/>
          </w:tcPr>
          <w:p>
            <w:pPr>
              <w:snapToGrid w:val="0"/>
              <w:spacing w:line="276"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验收部门</w:t>
            </w: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jc w:val="center"/>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ascii="宋体" w:hAnsi="宋体" w:eastAsia="宋体" w:cs="宋体"/>
                <w:sz w:val="28"/>
                <w:szCs w:val="28"/>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ascii="宋体" w:hAnsi="宋体" w:eastAsia="宋体" w:cs="宋体"/>
                <w:sz w:val="28"/>
                <w:szCs w:val="28"/>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jc w:val="center"/>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ascii="宋体" w:hAnsi="宋体" w:eastAsia="宋体" w:cs="宋体"/>
                <w:sz w:val="28"/>
                <w:szCs w:val="28"/>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ascii="宋体" w:hAnsi="宋体" w:eastAsia="宋体" w:cs="宋体"/>
                <w:sz w:val="28"/>
                <w:szCs w:val="28"/>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ascii="宋体" w:hAnsi="宋体" w:eastAsia="宋体" w:cs="宋体"/>
                <w:sz w:val="28"/>
                <w:szCs w:val="28"/>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jc w:val="center"/>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ascii="宋体" w:hAnsi="宋体" w:eastAsia="宋体" w:cs="宋体"/>
                <w:sz w:val="28"/>
                <w:szCs w:val="28"/>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ascii="宋体" w:hAnsi="宋体" w:eastAsia="宋体" w:cs="宋体"/>
                <w:sz w:val="28"/>
                <w:szCs w:val="28"/>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ascii="宋体" w:hAnsi="宋体" w:eastAsia="宋体" w:cs="宋体"/>
                <w:sz w:val="28"/>
                <w:szCs w:val="28"/>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ascii="宋体" w:hAnsi="宋体" w:eastAsia="宋体" w:cs="宋体"/>
                <w:sz w:val="28"/>
                <w:szCs w:val="28"/>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ascii="宋体" w:hAnsi="宋体" w:eastAsia="宋体" w:cs="宋体"/>
                <w:sz w:val="28"/>
                <w:szCs w:val="28"/>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hint="eastAsia" w:ascii="宋体" w:hAnsi="宋体" w:eastAsia="宋体" w:cs="宋体"/>
                <w:sz w:val="28"/>
                <w:szCs w:val="28"/>
                <w:lang w:eastAsia="zh-CN"/>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hint="eastAsia" w:ascii="宋体" w:hAnsi="宋体" w:eastAsia="宋体" w:cs="宋体"/>
                <w:sz w:val="28"/>
                <w:szCs w:val="28"/>
                <w:lang w:eastAsia="zh-CN"/>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hint="eastAsia" w:ascii="宋体" w:hAnsi="宋体" w:eastAsia="宋体" w:cs="宋体"/>
                <w:sz w:val="28"/>
                <w:szCs w:val="28"/>
                <w:lang w:eastAsia="zh-CN"/>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hint="eastAsia" w:ascii="宋体" w:hAnsi="宋体" w:eastAsia="宋体" w:cs="宋体"/>
                <w:sz w:val="28"/>
                <w:szCs w:val="28"/>
                <w:lang w:eastAsia="zh-CN"/>
              </w:rPr>
            </w:pPr>
          </w:p>
        </w:tc>
      </w:tr>
      <w:tr>
        <w:tblPrEx>
          <w:tblCellMar>
            <w:top w:w="0" w:type="dxa"/>
            <w:left w:w="108" w:type="dxa"/>
            <w:bottom w:w="0" w:type="dxa"/>
            <w:right w:w="108" w:type="dxa"/>
          </w:tblCellMar>
        </w:tblPrEx>
        <w:trPr>
          <w:trHeight w:val="615" w:hRule="atLeast"/>
          <w:jc w:val="center"/>
        </w:trPr>
        <w:tc>
          <w:tcPr>
            <w:tcW w:w="1559" w:type="dxa"/>
            <w:tcBorders>
              <w:top w:val="single" w:color="000000" w:sz="4" w:space="0"/>
              <w:left w:val="single" w:color="000000" w:sz="8"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4483"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rPr>
            </w:pPr>
          </w:p>
        </w:tc>
        <w:tc>
          <w:tcPr>
            <w:tcW w:w="2071" w:type="dxa"/>
            <w:tcBorders>
              <w:top w:val="single" w:color="000000" w:sz="4" w:space="0"/>
              <w:left w:val="single" w:color="000000" w:sz="4" w:space="0"/>
              <w:bottom w:val="single" w:color="000000" w:sz="4" w:space="0"/>
            </w:tcBorders>
            <w:noWrap w:val="0"/>
            <w:vAlign w:val="center"/>
          </w:tcPr>
          <w:p>
            <w:pPr>
              <w:snapToGrid w:val="0"/>
              <w:spacing w:line="276" w:lineRule="auto"/>
              <w:rPr>
                <w:rFonts w:hint="eastAsia" w:ascii="宋体" w:hAnsi="宋体" w:eastAsia="宋体" w:cs="宋体"/>
                <w:sz w:val="28"/>
                <w:szCs w:val="28"/>
                <w:lang w:eastAsia="zh-CN"/>
              </w:rPr>
            </w:pPr>
          </w:p>
        </w:tc>
        <w:tc>
          <w:tcPr>
            <w:tcW w:w="2376"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76" w:lineRule="auto"/>
              <w:rPr>
                <w:rFonts w:hint="eastAsia" w:ascii="宋体" w:hAnsi="宋体" w:eastAsia="宋体" w:cs="宋体"/>
                <w:sz w:val="28"/>
                <w:szCs w:val="28"/>
                <w:lang w:eastAsia="zh-CN"/>
              </w:rPr>
            </w:pPr>
          </w:p>
        </w:tc>
        <w:tc>
          <w:tcPr>
            <w:tcW w:w="1648" w:type="dxa"/>
            <w:tcBorders>
              <w:top w:val="single" w:color="000000" w:sz="4" w:space="0"/>
              <w:left w:val="single" w:color="000000" w:sz="4" w:space="0"/>
              <w:bottom w:val="single" w:color="000000" w:sz="4" w:space="0"/>
              <w:right w:val="single" w:color="000000" w:sz="8" w:space="0"/>
            </w:tcBorders>
            <w:noWrap w:val="0"/>
            <w:vAlign w:val="center"/>
          </w:tcPr>
          <w:p>
            <w:pPr>
              <w:snapToGrid w:val="0"/>
              <w:spacing w:line="276" w:lineRule="auto"/>
              <w:rPr>
                <w:rFonts w:hint="eastAsia" w:ascii="宋体" w:hAnsi="宋体" w:eastAsia="宋体" w:cs="宋体"/>
                <w:sz w:val="28"/>
                <w:szCs w:val="28"/>
                <w:lang w:eastAsia="zh-CN"/>
              </w:rPr>
            </w:pPr>
          </w:p>
        </w:tc>
      </w:tr>
    </w:tbl>
    <w:p>
      <w:pPr>
        <w:wordWrap w:val="0"/>
        <w:snapToGrid w:val="0"/>
        <w:spacing w:before="156" w:line="276" w:lineRule="auto"/>
        <w:jc w:val="righ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w:t>
      </w:r>
    </w:p>
    <w:p>
      <w:pPr>
        <w:pStyle w:val="23"/>
        <w:jc w:val="right"/>
        <w:rPr>
          <w:rFonts w:hint="eastAsia"/>
          <w:lang w:eastAsia="zh-CN"/>
        </w:rPr>
      </w:pPr>
      <w:r>
        <w:rPr>
          <w:rFonts w:hint="eastAsia" w:ascii="宋体" w:hAnsi="宋体" w:eastAsia="宋体" w:cs="宋体"/>
          <w:lang w:eastAsia="zh-CN"/>
        </w:rPr>
        <w:t xml:space="preserve">       </w:t>
      </w:r>
      <w:r>
        <w:rPr>
          <w:rFonts w:hint="eastAsia" w:ascii="宋体" w:hAnsi="宋体" w:eastAsia="宋体" w:cs="宋体"/>
        </w:rPr>
        <w:t>年</w:t>
      </w:r>
      <w:r>
        <w:rPr>
          <w:rFonts w:hint="eastAsia" w:ascii="宋体" w:hAnsi="宋体" w:eastAsia="宋体" w:cs="宋体"/>
          <w:lang w:eastAsia="zh-CN"/>
        </w:rPr>
        <w:t xml:space="preserve">   </w:t>
      </w:r>
      <w:r>
        <w:rPr>
          <w:rFonts w:hint="eastAsia" w:ascii="宋体" w:hAnsi="宋体" w:eastAsia="宋体" w:cs="宋体"/>
        </w:rPr>
        <w:t>月</w:t>
      </w:r>
      <w:r>
        <w:rPr>
          <w:rFonts w:hint="eastAsia" w:ascii="宋体" w:hAnsi="宋体" w:eastAsia="宋体" w:cs="宋体"/>
          <w:lang w:eastAsia="zh-CN"/>
        </w:rPr>
        <w:t xml:space="preserve">    </w:t>
      </w:r>
      <w:r>
        <w:rPr>
          <w:rFonts w:hint="eastAsia" w:ascii="宋体" w:hAnsi="宋体" w:eastAsia="宋体" w:cs="宋体"/>
        </w:rPr>
        <w:t xml:space="preserve">日   </w:t>
      </w:r>
    </w:p>
    <w:p>
      <w:pPr>
        <w:jc w:val="both"/>
        <w:rPr>
          <w:rFonts w:hint="eastAsia" w:eastAsia="宋体"/>
          <w:lang w:eastAsia="zh-CN"/>
        </w:rPr>
      </w:pPr>
    </w:p>
    <w:p>
      <w:pPr>
        <w:jc w:val="both"/>
        <w:rPr>
          <w:rFonts w:hint="eastAsia" w:eastAsia="宋体"/>
          <w:lang w:eastAsia="zh-CN"/>
        </w:rPr>
      </w:pPr>
    </w:p>
    <w:p>
      <w:pPr>
        <w:jc w:val="both"/>
        <w:rPr>
          <w:rFonts w:hint="eastAsia" w:eastAsia="宋体"/>
          <w:lang w:eastAsia="zh-CN"/>
        </w:rPr>
      </w:pPr>
    </w:p>
    <w:p>
      <w:pPr>
        <w:jc w:val="both"/>
        <w:rPr>
          <w:rFonts w:hint="eastAsia" w:eastAsia="宋体"/>
          <w:lang w:eastAsia="zh-CN"/>
        </w:rPr>
      </w:pPr>
    </w:p>
    <w:p>
      <w:pPr>
        <w:jc w:val="both"/>
        <w:rPr>
          <w:rFonts w:hint="eastAsia" w:eastAsia="宋体"/>
          <w:lang w:eastAsia="zh-CN"/>
        </w:rPr>
      </w:pPr>
    </w:p>
    <w:p>
      <w:pPr>
        <w:jc w:val="both"/>
        <w:rPr>
          <w:rFonts w:hint="eastAsia" w:eastAsia="宋体"/>
          <w:lang w:eastAsia="zh-CN"/>
        </w:rPr>
      </w:pPr>
    </w:p>
    <w:p>
      <w:pPr>
        <w:jc w:val="both"/>
        <w:rPr>
          <w:rFonts w:hint="eastAsia" w:eastAsia="宋体"/>
          <w:lang w:eastAsia="zh-CN"/>
        </w:rPr>
      </w:pPr>
    </w:p>
    <w:p>
      <w:pPr>
        <w:jc w:val="center"/>
        <w:rPr>
          <w:rFonts w:hint="eastAsia" w:eastAsia="宋体"/>
          <w:lang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44BD5"/>
    <w:multiLevelType w:val="multilevel"/>
    <w:tmpl w:val="49144BD5"/>
    <w:lvl w:ilvl="0" w:tentative="0">
      <w:start w:val="1"/>
      <w:numFmt w:val="chineseCountingThousand"/>
      <w:pStyle w:val="3"/>
      <w:lvlText w:val="%1、"/>
      <w:lvlJc w:val="left"/>
      <w:pPr>
        <w:tabs>
          <w:tab w:val="left" w:pos="0"/>
        </w:tabs>
        <w:ind w:left="0" w:firstLine="0"/>
      </w:pPr>
      <w:rPr>
        <w:rFonts w:hint="eastAsia"/>
      </w:rPr>
    </w:lvl>
    <w:lvl w:ilvl="1" w:tentative="0">
      <w:start w:val="1"/>
      <w:numFmt w:val="decimal"/>
      <w:isLgl/>
      <w:suff w:val="space"/>
      <w:lvlText w:val="%1.%2"/>
      <w:lvlJc w:val="left"/>
      <w:pPr>
        <w:ind w:left="0" w:firstLine="0"/>
      </w:pPr>
      <w:rPr>
        <w:rFonts w:hint="eastAsia"/>
      </w:rPr>
    </w:lvl>
    <w:lvl w:ilvl="2" w:tentative="0">
      <w:start w:val="1"/>
      <w:numFmt w:val="decimal"/>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5)"/>
      <w:lvlJc w:val="left"/>
      <w:pPr>
        <w:ind w:left="0" w:firstLine="0"/>
      </w:pPr>
      <w:rPr>
        <w:rFonts w:hint="eastAsia"/>
      </w:rPr>
    </w:lvl>
    <w:lvl w:ilvl="5" w:tentative="0">
      <w:start w:val="1"/>
      <w:numFmt w:val="bullet"/>
      <w:suff w:val="space"/>
      <w:lvlText w:val=""/>
      <w:lvlJc w:val="left"/>
      <w:pPr>
        <w:ind w:left="0" w:firstLine="0"/>
      </w:pPr>
      <w:rPr>
        <w:rFonts w:hint="default" w:ascii="Symbol" w:hAnsi="Symbol"/>
        <w:color w:val="auto"/>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diODRmNjBmZmQ3MmRmMzUzY2FiNDdmMDNjMjdlZWEifQ=="/>
  </w:docVars>
  <w:rsids>
    <w:rsidRoot w:val="00C0081D"/>
    <w:rsid w:val="00043936"/>
    <w:rsid w:val="00183655"/>
    <w:rsid w:val="002966FA"/>
    <w:rsid w:val="00305EFF"/>
    <w:rsid w:val="003234E6"/>
    <w:rsid w:val="003256B8"/>
    <w:rsid w:val="003F5C8E"/>
    <w:rsid w:val="005C741E"/>
    <w:rsid w:val="0063374C"/>
    <w:rsid w:val="0078641B"/>
    <w:rsid w:val="007F1423"/>
    <w:rsid w:val="00AF15D4"/>
    <w:rsid w:val="00C0081D"/>
    <w:rsid w:val="00D30078"/>
    <w:rsid w:val="00E02600"/>
    <w:rsid w:val="00E153BC"/>
    <w:rsid w:val="00FE7C45"/>
    <w:rsid w:val="010C426F"/>
    <w:rsid w:val="02C42BD1"/>
    <w:rsid w:val="02D432A2"/>
    <w:rsid w:val="032D5B2F"/>
    <w:rsid w:val="03FD05D6"/>
    <w:rsid w:val="04074FB1"/>
    <w:rsid w:val="04084919"/>
    <w:rsid w:val="04B74C29"/>
    <w:rsid w:val="05337E60"/>
    <w:rsid w:val="05410E84"/>
    <w:rsid w:val="05A0619A"/>
    <w:rsid w:val="061A31EF"/>
    <w:rsid w:val="06FA704F"/>
    <w:rsid w:val="08BA4CE8"/>
    <w:rsid w:val="096200F4"/>
    <w:rsid w:val="0A296F5D"/>
    <w:rsid w:val="0ACA0D46"/>
    <w:rsid w:val="0AE62476"/>
    <w:rsid w:val="0B330D82"/>
    <w:rsid w:val="0C037EAE"/>
    <w:rsid w:val="0C08036A"/>
    <w:rsid w:val="0C3E5484"/>
    <w:rsid w:val="0CAE45EA"/>
    <w:rsid w:val="0CEA31D6"/>
    <w:rsid w:val="0E930B6D"/>
    <w:rsid w:val="0FAB7138"/>
    <w:rsid w:val="0FB2002E"/>
    <w:rsid w:val="10765A79"/>
    <w:rsid w:val="109B35A8"/>
    <w:rsid w:val="116A66CF"/>
    <w:rsid w:val="11FA43A7"/>
    <w:rsid w:val="132F2709"/>
    <w:rsid w:val="13437373"/>
    <w:rsid w:val="144B22A2"/>
    <w:rsid w:val="14860174"/>
    <w:rsid w:val="1633272E"/>
    <w:rsid w:val="167614AF"/>
    <w:rsid w:val="16FA4BBF"/>
    <w:rsid w:val="17485BB5"/>
    <w:rsid w:val="17AC45A1"/>
    <w:rsid w:val="17EE22B8"/>
    <w:rsid w:val="180F348F"/>
    <w:rsid w:val="184170B1"/>
    <w:rsid w:val="186465F5"/>
    <w:rsid w:val="1C6E0E53"/>
    <w:rsid w:val="1C8542D7"/>
    <w:rsid w:val="1C921460"/>
    <w:rsid w:val="1D521F64"/>
    <w:rsid w:val="1FD539B6"/>
    <w:rsid w:val="1FE313F3"/>
    <w:rsid w:val="206509E5"/>
    <w:rsid w:val="22280ABD"/>
    <w:rsid w:val="2306626C"/>
    <w:rsid w:val="232C2DA8"/>
    <w:rsid w:val="247E7F87"/>
    <w:rsid w:val="251102AE"/>
    <w:rsid w:val="25BA13E0"/>
    <w:rsid w:val="26287C09"/>
    <w:rsid w:val="262D48F3"/>
    <w:rsid w:val="26905E4D"/>
    <w:rsid w:val="26AB309C"/>
    <w:rsid w:val="26E90CE8"/>
    <w:rsid w:val="270F224B"/>
    <w:rsid w:val="271D6776"/>
    <w:rsid w:val="272822D2"/>
    <w:rsid w:val="27294452"/>
    <w:rsid w:val="277A183C"/>
    <w:rsid w:val="280647A8"/>
    <w:rsid w:val="2868385E"/>
    <w:rsid w:val="28A063DF"/>
    <w:rsid w:val="28FE18EA"/>
    <w:rsid w:val="294653D0"/>
    <w:rsid w:val="29661EA6"/>
    <w:rsid w:val="29F52080"/>
    <w:rsid w:val="2D3F7B4B"/>
    <w:rsid w:val="2D5F3FC2"/>
    <w:rsid w:val="2DF6381D"/>
    <w:rsid w:val="2E615CBC"/>
    <w:rsid w:val="2F4B7EEA"/>
    <w:rsid w:val="306A5F48"/>
    <w:rsid w:val="30DF6BBA"/>
    <w:rsid w:val="32037B02"/>
    <w:rsid w:val="33164A1D"/>
    <w:rsid w:val="3339771E"/>
    <w:rsid w:val="33A26A6E"/>
    <w:rsid w:val="33D4587F"/>
    <w:rsid w:val="34AC0AA6"/>
    <w:rsid w:val="34FF745B"/>
    <w:rsid w:val="352B0250"/>
    <w:rsid w:val="3531770C"/>
    <w:rsid w:val="354B6B44"/>
    <w:rsid w:val="35BA4021"/>
    <w:rsid w:val="35ED2DC7"/>
    <w:rsid w:val="37757EA8"/>
    <w:rsid w:val="378C26F6"/>
    <w:rsid w:val="39135F3B"/>
    <w:rsid w:val="3A016696"/>
    <w:rsid w:val="3A3C2EFF"/>
    <w:rsid w:val="3A687850"/>
    <w:rsid w:val="3A717740"/>
    <w:rsid w:val="3A76098E"/>
    <w:rsid w:val="3B107B8B"/>
    <w:rsid w:val="3B8C57C0"/>
    <w:rsid w:val="3B8E1A9B"/>
    <w:rsid w:val="3CCD235A"/>
    <w:rsid w:val="3DC233FB"/>
    <w:rsid w:val="3E18631C"/>
    <w:rsid w:val="3E945CCA"/>
    <w:rsid w:val="40121862"/>
    <w:rsid w:val="41407941"/>
    <w:rsid w:val="41934C4A"/>
    <w:rsid w:val="41BF26A9"/>
    <w:rsid w:val="41D7095D"/>
    <w:rsid w:val="42CB37A9"/>
    <w:rsid w:val="42F4576B"/>
    <w:rsid w:val="43592784"/>
    <w:rsid w:val="45AF5052"/>
    <w:rsid w:val="4614262E"/>
    <w:rsid w:val="46561772"/>
    <w:rsid w:val="4689422A"/>
    <w:rsid w:val="47336A24"/>
    <w:rsid w:val="47370A12"/>
    <w:rsid w:val="477A0696"/>
    <w:rsid w:val="47B33334"/>
    <w:rsid w:val="481007F7"/>
    <w:rsid w:val="4A9B0A15"/>
    <w:rsid w:val="4ACC093B"/>
    <w:rsid w:val="4C89108D"/>
    <w:rsid w:val="4C8A12DA"/>
    <w:rsid w:val="4D202590"/>
    <w:rsid w:val="4D447F01"/>
    <w:rsid w:val="4E065676"/>
    <w:rsid w:val="4EC22C8C"/>
    <w:rsid w:val="4FDC68BF"/>
    <w:rsid w:val="50A714EC"/>
    <w:rsid w:val="50AA4C46"/>
    <w:rsid w:val="50B11DC6"/>
    <w:rsid w:val="51AE2A83"/>
    <w:rsid w:val="52324068"/>
    <w:rsid w:val="5382777D"/>
    <w:rsid w:val="542B161E"/>
    <w:rsid w:val="54472796"/>
    <w:rsid w:val="55E02539"/>
    <w:rsid w:val="568C1BD7"/>
    <w:rsid w:val="568C6FEB"/>
    <w:rsid w:val="56B414BC"/>
    <w:rsid w:val="57E30EAD"/>
    <w:rsid w:val="5806758E"/>
    <w:rsid w:val="59142C25"/>
    <w:rsid w:val="5AE81563"/>
    <w:rsid w:val="5BAD19D1"/>
    <w:rsid w:val="5BB57176"/>
    <w:rsid w:val="5C2327C7"/>
    <w:rsid w:val="5C337866"/>
    <w:rsid w:val="5CCB4369"/>
    <w:rsid w:val="5CF84171"/>
    <w:rsid w:val="5D271FF4"/>
    <w:rsid w:val="5E5E2CA4"/>
    <w:rsid w:val="5E7A76A4"/>
    <w:rsid w:val="5EDA60E2"/>
    <w:rsid w:val="5F2F109C"/>
    <w:rsid w:val="6124650C"/>
    <w:rsid w:val="614B746C"/>
    <w:rsid w:val="61FA4FF9"/>
    <w:rsid w:val="62023EBE"/>
    <w:rsid w:val="62BC3963"/>
    <w:rsid w:val="62EB003F"/>
    <w:rsid w:val="64836EB1"/>
    <w:rsid w:val="65235CF7"/>
    <w:rsid w:val="652E10B1"/>
    <w:rsid w:val="664A7C5F"/>
    <w:rsid w:val="66B3622D"/>
    <w:rsid w:val="66C27464"/>
    <w:rsid w:val="66F91C7E"/>
    <w:rsid w:val="68030870"/>
    <w:rsid w:val="68185512"/>
    <w:rsid w:val="68794F3A"/>
    <w:rsid w:val="691E309A"/>
    <w:rsid w:val="69EA5845"/>
    <w:rsid w:val="6A5958E4"/>
    <w:rsid w:val="6AE215AE"/>
    <w:rsid w:val="6DAE31BE"/>
    <w:rsid w:val="6DC77DAA"/>
    <w:rsid w:val="6E04009C"/>
    <w:rsid w:val="6E4C0C5C"/>
    <w:rsid w:val="6EC45AC0"/>
    <w:rsid w:val="6FD902CD"/>
    <w:rsid w:val="702E0844"/>
    <w:rsid w:val="70930A2D"/>
    <w:rsid w:val="70EA7E61"/>
    <w:rsid w:val="70EC292E"/>
    <w:rsid w:val="711E70DF"/>
    <w:rsid w:val="71473081"/>
    <w:rsid w:val="72744CD2"/>
    <w:rsid w:val="732652EC"/>
    <w:rsid w:val="736C409B"/>
    <w:rsid w:val="7399224D"/>
    <w:rsid w:val="73EE77A8"/>
    <w:rsid w:val="742C6601"/>
    <w:rsid w:val="74387F38"/>
    <w:rsid w:val="75CB4B5C"/>
    <w:rsid w:val="75E567CC"/>
    <w:rsid w:val="762B51FD"/>
    <w:rsid w:val="7666051D"/>
    <w:rsid w:val="77F15D45"/>
    <w:rsid w:val="78801C2E"/>
    <w:rsid w:val="78F1178B"/>
    <w:rsid w:val="7904460D"/>
    <w:rsid w:val="79766B8D"/>
    <w:rsid w:val="7ACE18BB"/>
    <w:rsid w:val="7B5D31A4"/>
    <w:rsid w:val="7B7D06A6"/>
    <w:rsid w:val="7CCF0F2F"/>
    <w:rsid w:val="7E1009A2"/>
    <w:rsid w:val="7E57710C"/>
    <w:rsid w:val="7F016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line="360" w:lineRule="auto"/>
      <w:outlineLvl w:val="0"/>
    </w:pPr>
    <w:rPr>
      <w:rFonts w:ascii="Times New Roman" w:hAnsi="Times New Roman" w:eastAsia="宋体" w:cstheme="minorBidi"/>
      <w:b/>
      <w:bCs/>
      <w:kern w:val="44"/>
      <w:sz w:val="32"/>
      <w:szCs w:val="44"/>
      <w:lang w:val="en-US" w:eastAsia="zh-CN" w:bidi="ar-SA"/>
    </w:rPr>
  </w:style>
  <w:style w:type="paragraph" w:styleId="4">
    <w:name w:val="heading 4"/>
    <w:basedOn w:val="1"/>
    <w:next w:val="1"/>
    <w:qFormat/>
    <w:uiPriority w:val="0"/>
    <w:pPr>
      <w:keepNext/>
      <w:keepLines/>
      <w:spacing w:line="372" w:lineRule="auto"/>
      <w:outlineLvl w:val="3"/>
    </w:pPr>
    <w:rPr>
      <w:rFonts w:ascii="Arial" w:hAnsi="Arial" w:eastAsia="黑体"/>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szCs w:val="21"/>
    </w:rPr>
  </w:style>
  <w:style w:type="paragraph" w:styleId="5">
    <w:name w:val="toc 7"/>
    <w:basedOn w:val="1"/>
    <w:next w:val="1"/>
    <w:qFormat/>
    <w:uiPriority w:val="0"/>
    <w:pPr>
      <w:ind w:left="2520"/>
    </w:pPr>
  </w:style>
  <w:style w:type="paragraph" w:styleId="6">
    <w:name w:val="table of authorities"/>
    <w:basedOn w:val="1"/>
    <w:next w:val="1"/>
    <w:semiHidden/>
    <w:qFormat/>
    <w:uiPriority w:val="0"/>
    <w:pPr>
      <w:ind w:left="420" w:leftChars="200"/>
    </w:pPr>
  </w:style>
  <w:style w:type="paragraph" w:styleId="7">
    <w:name w:val="annotation text"/>
    <w:basedOn w:val="1"/>
    <w:link w:val="29"/>
    <w:qFormat/>
    <w:uiPriority w:val="0"/>
    <w:pPr>
      <w:jc w:val="left"/>
    </w:pPr>
  </w:style>
  <w:style w:type="paragraph" w:styleId="8">
    <w:name w:val="Body Text"/>
    <w:basedOn w:val="1"/>
    <w:next w:val="9"/>
    <w:qFormat/>
    <w:uiPriority w:val="0"/>
    <w:pPr>
      <w:spacing w:after="120" w:line="360" w:lineRule="auto"/>
      <w:ind w:firstLine="200" w:firstLineChars="200"/>
    </w:pPr>
    <w:rPr>
      <w:sz w:val="28"/>
    </w:rPr>
  </w:style>
  <w:style w:type="paragraph" w:styleId="9">
    <w:name w:val="Plain Text"/>
    <w:basedOn w:val="1"/>
    <w:next w:val="8"/>
    <w:qFormat/>
    <w:uiPriority w:val="0"/>
    <w:pPr>
      <w:snapToGrid/>
    </w:pPr>
    <w:rPr>
      <w:rFonts w:ascii="宋体" w:hAnsi="Courier New"/>
      <w:kern w:val="2"/>
      <w:sz w:val="21"/>
      <w:szCs w:val="21"/>
    </w:rPr>
  </w:style>
  <w:style w:type="paragraph" w:styleId="10">
    <w:name w:val="Body Text Indent"/>
    <w:basedOn w:val="1"/>
    <w:unhideWhenUsed/>
    <w:qFormat/>
    <w:uiPriority w:val="99"/>
    <w:pPr>
      <w:spacing w:after="120"/>
      <w:ind w:left="420" w:leftChars="200"/>
    </w:pPr>
  </w:style>
  <w:style w:type="paragraph" w:styleId="11">
    <w:name w:val="index 4"/>
    <w:basedOn w:val="1"/>
    <w:next w:val="1"/>
    <w:qFormat/>
    <w:uiPriority w:val="0"/>
    <w:pPr>
      <w:ind w:left="600" w:leftChars="600"/>
    </w:pPr>
    <w:rPr>
      <w:sz w:val="21"/>
    </w:rPr>
  </w:style>
  <w:style w:type="paragraph" w:styleId="12">
    <w:name w:val="Balloon Text"/>
    <w:basedOn w:val="1"/>
    <w:link w:val="31"/>
    <w:qFormat/>
    <w:uiPriority w:val="0"/>
    <w:rPr>
      <w:sz w:val="18"/>
      <w:szCs w:val="18"/>
    </w:rPr>
  </w:style>
  <w:style w:type="paragraph" w:styleId="13">
    <w:name w:val="footer"/>
    <w:basedOn w:val="1"/>
    <w:link w:val="28"/>
    <w:qFormat/>
    <w:uiPriority w:val="0"/>
    <w:pPr>
      <w:tabs>
        <w:tab w:val="center" w:pos="4153"/>
        <w:tab w:val="right" w:pos="8306"/>
      </w:tabs>
      <w:snapToGrid w:val="0"/>
      <w:jc w:val="left"/>
    </w:pPr>
    <w:rPr>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annotation subject"/>
    <w:basedOn w:val="7"/>
    <w:next w:val="7"/>
    <w:link w:val="30"/>
    <w:qFormat/>
    <w:uiPriority w:val="0"/>
    <w:rPr>
      <w:b/>
      <w:bCs/>
    </w:rPr>
  </w:style>
  <w:style w:type="paragraph" w:styleId="17">
    <w:name w:val="Body Text First Indent"/>
    <w:basedOn w:val="8"/>
    <w:qFormat/>
    <w:uiPriority w:val="0"/>
    <w:pPr>
      <w:ind w:firstLine="420" w:firstLineChars="100"/>
    </w:pPr>
  </w:style>
  <w:style w:type="paragraph" w:styleId="18">
    <w:name w:val="Body Text First Indent 2"/>
    <w:basedOn w:val="10"/>
    <w:next w:val="17"/>
    <w:qFormat/>
    <w:uiPriority w:val="0"/>
    <w:pPr>
      <w:ind w:firstLine="420" w:firstLineChars="200"/>
    </w:pPr>
    <w:rPr>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qFormat/>
    <w:uiPriority w:val="0"/>
    <w:rPr>
      <w:sz w:val="21"/>
      <w:szCs w:val="21"/>
    </w:rPr>
  </w:style>
  <w:style w:type="paragraph" w:customStyle="1" w:styleId="23">
    <w:name w:val="样式2"/>
    <w:basedOn w:val="11"/>
    <w:next w:val="4"/>
    <w:qFormat/>
    <w:uiPriority w:val="0"/>
    <w:pPr>
      <w:spacing w:line="360" w:lineRule="auto"/>
      <w:ind w:firstLine="482" w:firstLineChars="200"/>
    </w:pPr>
    <w:rPr>
      <w:b/>
      <w:sz w:val="24"/>
    </w:rPr>
  </w:style>
  <w:style w:type="paragraph" w:customStyle="1" w:styleId="24">
    <w:name w:val="Default"/>
    <w:next w:val="5"/>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25">
    <w:name w:val="0正文"/>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26">
    <w:name w:val="普通(网站)1"/>
    <w:basedOn w:val="1"/>
    <w:qFormat/>
    <w:uiPriority w:val="0"/>
    <w:pPr>
      <w:spacing w:before="100" w:beforeAutospacing="1" w:after="100" w:afterAutospacing="1"/>
    </w:pPr>
    <w:rPr>
      <w:rFonts w:ascii="宋体" w:cs="宋体"/>
      <w:sz w:val="24"/>
    </w:rPr>
  </w:style>
  <w:style w:type="character" w:customStyle="1" w:styleId="27">
    <w:name w:val="页眉 Char"/>
    <w:basedOn w:val="21"/>
    <w:link w:val="14"/>
    <w:qFormat/>
    <w:uiPriority w:val="0"/>
    <w:rPr>
      <w:kern w:val="2"/>
      <w:sz w:val="18"/>
      <w:szCs w:val="18"/>
    </w:rPr>
  </w:style>
  <w:style w:type="character" w:customStyle="1" w:styleId="28">
    <w:name w:val="页脚 Char"/>
    <w:basedOn w:val="21"/>
    <w:link w:val="13"/>
    <w:qFormat/>
    <w:uiPriority w:val="0"/>
    <w:rPr>
      <w:kern w:val="2"/>
      <w:sz w:val="18"/>
      <w:szCs w:val="18"/>
    </w:rPr>
  </w:style>
  <w:style w:type="character" w:customStyle="1" w:styleId="29">
    <w:name w:val="批注文字 Char"/>
    <w:basedOn w:val="21"/>
    <w:link w:val="7"/>
    <w:qFormat/>
    <w:uiPriority w:val="0"/>
    <w:rPr>
      <w:kern w:val="2"/>
      <w:sz w:val="21"/>
      <w:szCs w:val="24"/>
    </w:rPr>
  </w:style>
  <w:style w:type="character" w:customStyle="1" w:styleId="30">
    <w:name w:val="批注主题 Char"/>
    <w:basedOn w:val="29"/>
    <w:link w:val="16"/>
    <w:qFormat/>
    <w:uiPriority w:val="0"/>
    <w:rPr>
      <w:b/>
      <w:bCs/>
    </w:rPr>
  </w:style>
  <w:style w:type="character" w:customStyle="1" w:styleId="31">
    <w:name w:val="批注框文本 Char"/>
    <w:basedOn w:val="21"/>
    <w:link w:val="12"/>
    <w:qFormat/>
    <w:uiPriority w:val="0"/>
    <w:rPr>
      <w:kern w:val="2"/>
      <w:sz w:val="18"/>
      <w:szCs w:val="18"/>
    </w:rPr>
  </w:style>
  <w:style w:type="paragraph" w:customStyle="1" w:styleId="32">
    <w:name w:val="Body text|221"/>
    <w:basedOn w:val="1"/>
    <w:qFormat/>
    <w:uiPriority w:val="0"/>
    <w:pPr>
      <w:shd w:val="clear" w:color="auto" w:fill="FFFFFF"/>
      <w:spacing w:before="260" w:after="200" w:line="466" w:lineRule="exact"/>
      <w:ind w:hanging="520"/>
      <w:jc w:val="distribute"/>
    </w:pPr>
    <w:rPr>
      <w:rFonts w:ascii="PMingLiU" w:hAnsi="PMingLiU" w:eastAsia="PMingLiU" w:cs="PMingLiU"/>
    </w:rPr>
  </w:style>
  <w:style w:type="paragraph" w:customStyle="1" w:styleId="33">
    <w:name w:val="正文(首行缩进)"/>
    <w:basedOn w:val="1"/>
    <w:qFormat/>
    <w:uiPriority w:val="0"/>
    <w:pPr>
      <w:adjustRightInd w:val="0"/>
      <w:snapToGrid w:val="0"/>
      <w:spacing w:line="360" w:lineRule="auto"/>
      <w:ind w:firstLine="200" w:firstLineChars="200"/>
    </w:pPr>
    <w:rPr>
      <w:snapToGrid w:val="0"/>
    </w:rPr>
  </w:style>
  <w:style w:type="paragraph" w:customStyle="1" w:styleId="34">
    <w:name w:val="正文（小四）"/>
    <w:qFormat/>
    <w:uiPriority w:val="0"/>
    <w:pPr>
      <w:spacing w:line="360" w:lineRule="auto"/>
      <w:ind w:firstLine="200" w:firstLineChars="200"/>
      <w:jc w:val="both"/>
    </w:pPr>
    <w:rPr>
      <w:rFonts w:ascii="Times New Roman" w:hAnsi="Times New Roman" w:eastAsia="宋体" w:cs="Times New Roman"/>
      <w:bCs/>
      <w:kern w:val="2"/>
      <w:sz w:val="24"/>
      <w:szCs w:val="32"/>
      <w:lang w:val="en-US" w:eastAsia="zh-CN" w:bidi="ar-SA"/>
    </w:rPr>
  </w:style>
  <w:style w:type="paragraph" w:customStyle="1" w:styleId="35">
    <w:name w:val="表格的字"/>
    <w:next w:val="1"/>
    <w:qFormat/>
    <w:uiPriority w:val="0"/>
    <w:pPr>
      <w:jc w:val="center"/>
    </w:pPr>
    <w:rPr>
      <w:rFonts w:ascii="Times New Roman" w:hAnsi="Times New Roman" w:eastAsia="宋体" w:cs="宋体"/>
      <w:kern w:val="2"/>
      <w:sz w:val="21"/>
      <w:szCs w:val="21"/>
      <w:lang w:val="en-US" w:eastAsia="zh-CN" w:bidi="ar-SA"/>
    </w:rPr>
  </w:style>
  <w:style w:type="table" w:customStyle="1" w:styleId="36">
    <w:name w:val="表格样式刘"/>
    <w:basedOn w:val="19"/>
    <w:qFormat/>
    <w:uiPriority w:val="99"/>
    <w:pPr>
      <w:jc w:val="center"/>
    </w:p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37">
    <w:name w:val="标题2"/>
    <w:basedOn w:val="6"/>
    <w:qFormat/>
    <w:uiPriority w:val="0"/>
    <w:pPr>
      <w:spacing w:beforeLines="50" w:afterLines="50"/>
      <w:ind w:left="0" w:leftChars="0" w:firstLine="0" w:firstLineChars="0"/>
      <w:jc w:val="both"/>
    </w:pPr>
    <w:rPr>
      <w:rFonts w:ascii="宋体" w:hAnsi="宋体"/>
      <w:b/>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7</Pages>
  <Words>2927</Words>
  <Characters>3457</Characters>
  <Lines>18</Lines>
  <Paragraphs>5</Paragraphs>
  <TotalTime>0</TotalTime>
  <ScaleCrop>false</ScaleCrop>
  <LinksUpToDate>false</LinksUpToDate>
  <CharactersWithSpaces>3510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2020-04-08T08:31:00Z</dcterms:created>
  <dc:creator>Administrator</dc:creator>
  <cp:lastModifiedBy>黎与</cp:lastModifiedBy>
  <dcterms:modified xsi:type="dcterms:W3CDTF">2023-02-27T08:38:37Z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EBD8CA16F74345ADB55F4068D1F0DE95</vt:lpwstr>
  </property>
</Properties>
</file>